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49F360" w14:textId="2882B842" w:rsidR="00220BC8" w:rsidRDefault="006E33E6" w:rsidP="006E33E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Book Review </w:t>
      </w:r>
    </w:p>
    <w:p w14:paraId="301F989E" w14:textId="77777777" w:rsidR="008863AC" w:rsidRDefault="008863AC" w:rsidP="006E33E6">
      <w:pPr>
        <w:spacing w:after="0" w:line="480" w:lineRule="auto"/>
        <w:rPr>
          <w:rFonts w:ascii="Times New Roman" w:hAnsi="Times New Roman" w:cs="Times New Roman"/>
          <w:b/>
          <w:bCs/>
          <w:sz w:val="24"/>
          <w:szCs w:val="24"/>
        </w:rPr>
      </w:pPr>
      <w:r w:rsidRPr="008863AC">
        <w:rPr>
          <w:rFonts w:ascii="Times New Roman" w:hAnsi="Times New Roman" w:cs="Times New Roman"/>
          <w:b/>
          <w:bCs/>
          <w:sz w:val="24"/>
          <w:szCs w:val="24"/>
        </w:rPr>
        <w:t xml:space="preserve">Human Rights and the Care of Older People: Dignity, Vulnerability, and the Anti-Torture Norm </w:t>
      </w:r>
    </w:p>
    <w:p w14:paraId="73F4A5B6" w14:textId="2A1E4F01" w:rsidR="002E4B7C" w:rsidRDefault="008F5434" w:rsidP="005666A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By </w:t>
      </w:r>
      <w:r w:rsidR="002E4B7C" w:rsidRPr="002E4B7C">
        <w:rPr>
          <w:rFonts w:ascii="Times New Roman" w:hAnsi="Times New Roman" w:cs="Times New Roman"/>
          <w:sz w:val="24"/>
          <w:szCs w:val="24"/>
        </w:rPr>
        <w:t>Maeve O’Rourke</w:t>
      </w:r>
    </w:p>
    <w:p w14:paraId="4E154AD3" w14:textId="325FB5A7" w:rsidR="00C344AF" w:rsidRDefault="005666AF" w:rsidP="005666AF">
      <w:pPr>
        <w:spacing w:after="0" w:line="480" w:lineRule="auto"/>
        <w:rPr>
          <w:rFonts w:ascii="Times New Roman" w:hAnsi="Times New Roman" w:cs="Times New Roman"/>
          <w:sz w:val="24"/>
          <w:szCs w:val="24"/>
        </w:rPr>
      </w:pPr>
      <w:r w:rsidRPr="005666AF">
        <w:rPr>
          <w:rFonts w:ascii="Times New Roman" w:hAnsi="Times New Roman" w:cs="Times New Roman"/>
          <w:sz w:val="24"/>
          <w:szCs w:val="24"/>
        </w:rPr>
        <w:t>Oxford: Oxford University Press</w:t>
      </w:r>
      <w:r w:rsidR="00174C3A">
        <w:rPr>
          <w:rFonts w:ascii="Times New Roman" w:hAnsi="Times New Roman" w:cs="Times New Roman"/>
          <w:sz w:val="24"/>
          <w:szCs w:val="24"/>
        </w:rPr>
        <w:t>, 202</w:t>
      </w:r>
      <w:r>
        <w:rPr>
          <w:rFonts w:ascii="Times New Roman" w:hAnsi="Times New Roman" w:cs="Times New Roman"/>
          <w:sz w:val="24"/>
          <w:szCs w:val="24"/>
        </w:rPr>
        <w:t>4</w:t>
      </w:r>
      <w:r w:rsidR="00663306">
        <w:rPr>
          <w:rFonts w:ascii="Times New Roman" w:hAnsi="Times New Roman" w:cs="Times New Roman"/>
          <w:sz w:val="24"/>
          <w:szCs w:val="24"/>
        </w:rPr>
        <w:t>.</w:t>
      </w:r>
      <w:r w:rsidR="00543F27">
        <w:rPr>
          <w:rFonts w:ascii="Times New Roman" w:hAnsi="Times New Roman" w:cs="Times New Roman"/>
          <w:sz w:val="24"/>
          <w:szCs w:val="24"/>
        </w:rPr>
        <w:t xml:space="preserve"> </w:t>
      </w:r>
      <w:r w:rsidR="00543F27" w:rsidRPr="00543F27">
        <w:rPr>
          <w:rFonts w:ascii="Times New Roman" w:hAnsi="Times New Roman" w:cs="Times New Roman"/>
          <w:sz w:val="24"/>
          <w:szCs w:val="24"/>
        </w:rPr>
        <w:t xml:space="preserve">ISBN: </w:t>
      </w:r>
      <w:r w:rsidR="00E63C05" w:rsidRPr="00E63C05">
        <w:rPr>
          <w:rFonts w:ascii="Times New Roman" w:hAnsi="Times New Roman" w:cs="Times New Roman"/>
          <w:sz w:val="24"/>
          <w:szCs w:val="24"/>
        </w:rPr>
        <w:t>9780191953002</w:t>
      </w:r>
      <w:r w:rsidR="00354DAF">
        <w:rPr>
          <w:rFonts w:ascii="Times New Roman" w:hAnsi="Times New Roman" w:cs="Times New Roman"/>
          <w:sz w:val="24"/>
          <w:szCs w:val="24"/>
        </w:rPr>
        <w:t xml:space="preserve">. </w:t>
      </w:r>
      <w:r w:rsidR="002C4BE0">
        <w:rPr>
          <w:rFonts w:ascii="Times New Roman" w:hAnsi="Times New Roman" w:cs="Times New Roman"/>
          <w:sz w:val="24"/>
          <w:szCs w:val="24"/>
        </w:rPr>
        <w:t xml:space="preserve">Open Access </w:t>
      </w:r>
      <w:r w:rsidR="004F413D">
        <w:rPr>
          <w:rFonts w:ascii="Times New Roman" w:hAnsi="Times New Roman" w:cs="Times New Roman"/>
          <w:sz w:val="24"/>
          <w:szCs w:val="24"/>
        </w:rPr>
        <w:t>(online)</w:t>
      </w:r>
      <w:r w:rsidR="00354DAF">
        <w:rPr>
          <w:rFonts w:ascii="Times New Roman" w:hAnsi="Times New Roman" w:cs="Times New Roman"/>
          <w:sz w:val="24"/>
          <w:szCs w:val="24"/>
        </w:rPr>
        <w:t xml:space="preserve">; 242 pages; </w:t>
      </w:r>
      <w:r w:rsidR="001F5D39" w:rsidRPr="001F5D39">
        <w:rPr>
          <w:rFonts w:ascii="Times New Roman" w:hAnsi="Times New Roman" w:cs="Times New Roman"/>
          <w:sz w:val="24"/>
          <w:szCs w:val="24"/>
        </w:rPr>
        <w:t>£90</w:t>
      </w:r>
      <w:r w:rsidR="001F5D39">
        <w:rPr>
          <w:rFonts w:ascii="Times New Roman" w:hAnsi="Times New Roman" w:cs="Times New Roman"/>
          <w:sz w:val="24"/>
          <w:szCs w:val="24"/>
        </w:rPr>
        <w:t xml:space="preserve"> (</w:t>
      </w:r>
      <w:proofErr w:type="spellStart"/>
      <w:r w:rsidR="001F5D39">
        <w:rPr>
          <w:rFonts w:ascii="Times New Roman" w:hAnsi="Times New Roman" w:cs="Times New Roman"/>
          <w:sz w:val="24"/>
          <w:szCs w:val="24"/>
        </w:rPr>
        <w:t>Hbk</w:t>
      </w:r>
      <w:proofErr w:type="spellEnd"/>
      <w:r w:rsidR="001F5D39">
        <w:rPr>
          <w:rFonts w:ascii="Times New Roman" w:hAnsi="Times New Roman" w:cs="Times New Roman"/>
          <w:sz w:val="24"/>
          <w:szCs w:val="24"/>
        </w:rPr>
        <w:t>)</w:t>
      </w:r>
    </w:p>
    <w:p w14:paraId="3DA51DD1" w14:textId="77777777" w:rsidR="008F5434" w:rsidRDefault="008F5434" w:rsidP="005666AF">
      <w:pPr>
        <w:spacing w:after="0" w:line="480" w:lineRule="auto"/>
        <w:rPr>
          <w:rFonts w:ascii="Times New Roman" w:hAnsi="Times New Roman" w:cs="Times New Roman"/>
          <w:sz w:val="24"/>
          <w:szCs w:val="24"/>
        </w:rPr>
      </w:pPr>
    </w:p>
    <w:p w14:paraId="032656E0" w14:textId="77777777" w:rsidR="00E7275C" w:rsidRDefault="000C38BD" w:rsidP="005666AF">
      <w:pPr>
        <w:spacing w:after="0" w:line="480" w:lineRule="auto"/>
        <w:rPr>
          <w:rFonts w:ascii="Times New Roman" w:hAnsi="Times New Roman" w:cs="Times New Roman"/>
          <w:sz w:val="24"/>
          <w:szCs w:val="24"/>
        </w:rPr>
      </w:pPr>
      <w:r>
        <w:rPr>
          <w:rFonts w:ascii="Times New Roman" w:hAnsi="Times New Roman" w:cs="Times New Roman"/>
          <w:sz w:val="24"/>
          <w:szCs w:val="24"/>
        </w:rPr>
        <w:t>Poland Lai, York University,</w:t>
      </w:r>
      <w:r w:rsidR="00E7275C">
        <w:rPr>
          <w:rFonts w:ascii="Times New Roman" w:hAnsi="Times New Roman" w:cs="Times New Roman"/>
          <w:sz w:val="24"/>
          <w:szCs w:val="24"/>
        </w:rPr>
        <w:t xml:space="preserve"> Toronto, Canada</w:t>
      </w:r>
    </w:p>
    <w:p w14:paraId="20BF69C5" w14:textId="1D84E018" w:rsidR="000C38BD" w:rsidRDefault="00E7275C" w:rsidP="005666A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E-mail: </w:t>
      </w:r>
      <w:hyperlink r:id="rId6" w:history="1">
        <w:r w:rsidRPr="00A2505F">
          <w:rPr>
            <w:rStyle w:val="Hyperlink"/>
            <w:rFonts w:ascii="Times New Roman" w:hAnsi="Times New Roman" w:cs="Times New Roman"/>
            <w:sz w:val="24"/>
            <w:szCs w:val="24"/>
          </w:rPr>
          <w:t>poland.lai@yorku.ca</w:t>
        </w:r>
      </w:hyperlink>
      <w:r>
        <w:rPr>
          <w:rFonts w:ascii="Times New Roman" w:hAnsi="Times New Roman" w:cs="Times New Roman"/>
          <w:sz w:val="24"/>
          <w:szCs w:val="24"/>
        </w:rPr>
        <w:t xml:space="preserve">  </w:t>
      </w:r>
      <w:r w:rsidR="000C38BD">
        <w:rPr>
          <w:rFonts w:ascii="Times New Roman" w:hAnsi="Times New Roman" w:cs="Times New Roman"/>
          <w:sz w:val="24"/>
          <w:szCs w:val="24"/>
        </w:rPr>
        <w:t xml:space="preserve"> </w:t>
      </w:r>
    </w:p>
    <w:p w14:paraId="7776C273" w14:textId="77777777" w:rsidR="008F5434" w:rsidRDefault="008F5434" w:rsidP="005666AF">
      <w:pPr>
        <w:spacing w:after="0" w:line="480" w:lineRule="auto"/>
        <w:rPr>
          <w:rFonts w:ascii="Times New Roman" w:hAnsi="Times New Roman" w:cs="Times New Roman"/>
          <w:sz w:val="24"/>
          <w:szCs w:val="24"/>
        </w:rPr>
      </w:pPr>
    </w:p>
    <w:p w14:paraId="08A9187B" w14:textId="36031151" w:rsidR="00E37C12" w:rsidRDefault="00AA1719" w:rsidP="00461C9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2020, </w:t>
      </w:r>
      <w:r w:rsidR="00AE49A5">
        <w:rPr>
          <w:rFonts w:ascii="Times New Roman" w:hAnsi="Times New Roman" w:cs="Times New Roman"/>
          <w:sz w:val="24"/>
          <w:szCs w:val="24"/>
        </w:rPr>
        <w:t xml:space="preserve">advocates and scholars alike </w:t>
      </w:r>
      <w:r w:rsidR="00ED31F9">
        <w:rPr>
          <w:rFonts w:ascii="Times New Roman" w:hAnsi="Times New Roman" w:cs="Times New Roman"/>
          <w:sz w:val="24"/>
          <w:szCs w:val="24"/>
        </w:rPr>
        <w:t xml:space="preserve">call for </w:t>
      </w:r>
      <w:r w:rsidR="00AF63DE">
        <w:rPr>
          <w:rFonts w:ascii="Times New Roman" w:hAnsi="Times New Roman" w:cs="Times New Roman"/>
          <w:sz w:val="24"/>
          <w:szCs w:val="24"/>
        </w:rPr>
        <w:t>a</w:t>
      </w:r>
      <w:r w:rsidR="00AF63DE" w:rsidRPr="00AF63DE">
        <w:rPr>
          <w:rFonts w:ascii="Times New Roman" w:hAnsi="Times New Roman" w:cs="Times New Roman"/>
          <w:sz w:val="24"/>
          <w:szCs w:val="24"/>
        </w:rPr>
        <w:t>dopt</w:t>
      </w:r>
      <w:r w:rsidR="00AF63DE">
        <w:rPr>
          <w:rFonts w:ascii="Times New Roman" w:hAnsi="Times New Roman" w:cs="Times New Roman"/>
          <w:sz w:val="24"/>
          <w:szCs w:val="24"/>
        </w:rPr>
        <w:t>ion of</w:t>
      </w:r>
      <w:r w:rsidR="00AF63DE" w:rsidRPr="00AF63DE">
        <w:rPr>
          <w:rFonts w:ascii="Times New Roman" w:hAnsi="Times New Roman" w:cs="Times New Roman"/>
          <w:sz w:val="24"/>
          <w:szCs w:val="24"/>
        </w:rPr>
        <w:t xml:space="preserve"> a much more robust human rights approach to policy development and holding government accountable for its actions and inaction </w:t>
      </w:r>
      <w:r w:rsidR="000A7167">
        <w:rPr>
          <w:rFonts w:ascii="Times New Roman" w:hAnsi="Times New Roman" w:cs="Times New Roman"/>
          <w:sz w:val="24"/>
          <w:szCs w:val="24"/>
        </w:rPr>
        <w:t xml:space="preserve">in relation to ageing issues (for example, see </w:t>
      </w:r>
      <w:r w:rsidR="000E59E1">
        <w:rPr>
          <w:rFonts w:ascii="Times New Roman" w:hAnsi="Times New Roman" w:cs="Times New Roman"/>
          <w:sz w:val="24"/>
          <w:szCs w:val="24"/>
        </w:rPr>
        <w:t xml:space="preserve">Byrne 2020). </w:t>
      </w:r>
      <w:r w:rsidR="0061530E">
        <w:rPr>
          <w:rFonts w:ascii="Times New Roman" w:hAnsi="Times New Roman" w:cs="Times New Roman"/>
          <w:sz w:val="24"/>
          <w:szCs w:val="24"/>
        </w:rPr>
        <w:t>T</w:t>
      </w:r>
      <w:r w:rsidR="00A0056B" w:rsidRPr="00A0056B">
        <w:rPr>
          <w:rFonts w:ascii="Times New Roman" w:hAnsi="Times New Roman" w:cs="Times New Roman"/>
          <w:sz w:val="24"/>
          <w:szCs w:val="24"/>
        </w:rPr>
        <w:t>he</w:t>
      </w:r>
      <w:r w:rsidR="00374D2E">
        <w:rPr>
          <w:rFonts w:ascii="Times New Roman" w:hAnsi="Times New Roman" w:cs="Times New Roman"/>
          <w:sz w:val="24"/>
          <w:szCs w:val="24"/>
        </w:rPr>
        <w:t xml:space="preserve"> concepts and</w:t>
      </w:r>
      <w:r w:rsidR="00A0056B" w:rsidRPr="00A0056B">
        <w:rPr>
          <w:rFonts w:ascii="Times New Roman" w:hAnsi="Times New Roman" w:cs="Times New Roman"/>
          <w:sz w:val="24"/>
          <w:szCs w:val="24"/>
        </w:rPr>
        <w:t xml:space="preserve"> language of human rights speak to the obligations of the state and the responsibilities of citizens</w:t>
      </w:r>
      <w:r w:rsidR="004A3155">
        <w:rPr>
          <w:rFonts w:ascii="Times New Roman" w:hAnsi="Times New Roman" w:cs="Times New Roman"/>
          <w:sz w:val="24"/>
          <w:szCs w:val="24"/>
        </w:rPr>
        <w:t>, including</w:t>
      </w:r>
      <w:r w:rsidR="00EB401E">
        <w:rPr>
          <w:rFonts w:ascii="Times New Roman" w:hAnsi="Times New Roman" w:cs="Times New Roman"/>
          <w:sz w:val="24"/>
          <w:szCs w:val="24"/>
        </w:rPr>
        <w:t xml:space="preserve"> </w:t>
      </w:r>
      <w:r w:rsidR="00363434" w:rsidRPr="00363434">
        <w:rPr>
          <w:rFonts w:ascii="Times New Roman" w:hAnsi="Times New Roman" w:cs="Times New Roman"/>
          <w:sz w:val="24"/>
          <w:szCs w:val="24"/>
        </w:rPr>
        <w:t>duties to refrain, duties to protect and duties to provide</w:t>
      </w:r>
      <w:r w:rsidR="00A0056B" w:rsidRPr="00A0056B">
        <w:rPr>
          <w:rFonts w:ascii="Times New Roman" w:hAnsi="Times New Roman" w:cs="Times New Roman"/>
          <w:sz w:val="24"/>
          <w:szCs w:val="24"/>
        </w:rPr>
        <w:t xml:space="preserve"> </w:t>
      </w:r>
      <w:r w:rsidR="00A0056B" w:rsidRPr="00FE6C20">
        <w:rPr>
          <w:rFonts w:ascii="Times New Roman" w:hAnsi="Times New Roman" w:cs="Times New Roman"/>
          <w:sz w:val="24"/>
          <w:szCs w:val="24"/>
        </w:rPr>
        <w:fldChar w:fldCharType="begin"/>
      </w:r>
      <w:r w:rsidR="00A0056B" w:rsidRPr="00FE6C20">
        <w:rPr>
          <w:rFonts w:ascii="Times New Roman" w:hAnsi="Times New Roman" w:cs="Times New Roman"/>
          <w:sz w:val="24"/>
          <w:szCs w:val="24"/>
        </w:rPr>
        <w:instrText xml:space="preserve"> ADDIN ZOTERO_ITEM CSL_CITATION {"citationID":"PyUZaCLi","properties":{"formattedCitation":"(Fisher &amp; Robinson, 2023, pp. 2\\uc0\\u8211{}3)","plainCitation":"(Fisher &amp; Robinson, 2023, pp. 2–3)","noteIndex":0},"citationItems":[{"id":9717,"uris":["http://zotero.org/users/3321160/items/CE5QPRAA"],"itemData":{"id":9717,"type":"chapter","abstract":"This handbook on disability policy considers the impact on policy of understanding disability through a human rights framework. The introduction chapter describes the diverse conceptual approaches to disability policy, which sometimes operate in conflict or to exclude other approaches. The chapter explains the critical understanding of policy as the social relations between people engaged in the enactment of policy as a process. The chapter considers how a human rights understanding of disability interacts with and influences welfare, health and economic approaches to disability policy, especially in the context of the United Nations Convention on the Rights of Persons with Disabilities. The argument for critiquing disability policy through the lens of human rights is presented to introduce the following chapters and narratives. The collective contributions offer a global perspective of disability policy at particular points in time and place, informed by the expertise of people with disability about their human rights.","container-title":"Research Handbook on Disability Policy","ISBN":"978-1-80037-365-5","language":"eng","note":"section: Research Handbook on Disability Policy","page":"1-10","publisher":"Edward Elgar Publishing","source":"www.elgaronline.com","title":"Introduction to disability policy through a human rights lens","URL":"https://www.elgaronline.com/edcollchap/book/9781800373655/book-part-9781800373655-6.xml","author":[{"family":"Fisher","given":"Karen R."},{"family":"Robinson","given":"Sally"}],"editor":[{"family":"Robinson","given":"Sally"},{"family":"Fisher","given":"Karen R."}],"accessed":{"date-parts":[["2024",4,13]]},"issued":{"date-parts":[["2023",6,8]]}},"locator":"2-3","label":"page"}],"schema":"https://github.com/citation-style-language/schema/raw/master/csl-citation.json"} </w:instrText>
      </w:r>
      <w:r w:rsidR="00A0056B" w:rsidRPr="00FE6C20">
        <w:rPr>
          <w:rFonts w:ascii="Times New Roman" w:hAnsi="Times New Roman" w:cs="Times New Roman"/>
          <w:sz w:val="24"/>
          <w:szCs w:val="24"/>
        </w:rPr>
        <w:fldChar w:fldCharType="separate"/>
      </w:r>
      <w:r w:rsidR="00A0056B" w:rsidRPr="00FE6C20">
        <w:rPr>
          <w:rFonts w:ascii="Times New Roman" w:hAnsi="Times New Roman" w:cs="Times New Roman"/>
          <w:sz w:val="24"/>
          <w:szCs w:val="24"/>
        </w:rPr>
        <w:t>(</w:t>
      </w:r>
      <w:r w:rsidR="00FE6C20" w:rsidRPr="00FE6C20">
        <w:rPr>
          <w:rFonts w:ascii="Times New Roman" w:hAnsi="Times New Roman" w:cs="Times New Roman"/>
          <w:sz w:val="24"/>
          <w:szCs w:val="24"/>
        </w:rPr>
        <w:t xml:space="preserve">Fisher &amp; Robinson, 2023, </w:t>
      </w:r>
      <w:r w:rsidR="00A0056B" w:rsidRPr="00FE6C20">
        <w:rPr>
          <w:rFonts w:ascii="Times New Roman" w:hAnsi="Times New Roman" w:cs="Times New Roman"/>
          <w:sz w:val="24"/>
          <w:szCs w:val="24"/>
        </w:rPr>
        <w:t>pp. 2–3)</w:t>
      </w:r>
      <w:r w:rsidR="00A0056B" w:rsidRPr="00FE6C20">
        <w:rPr>
          <w:rFonts w:ascii="Times New Roman" w:hAnsi="Times New Roman" w:cs="Times New Roman"/>
          <w:sz w:val="24"/>
          <w:szCs w:val="24"/>
        </w:rPr>
        <w:fldChar w:fldCharType="end"/>
      </w:r>
      <w:r w:rsidR="00A0056B" w:rsidRPr="00A0056B">
        <w:rPr>
          <w:rFonts w:ascii="Times New Roman" w:hAnsi="Times New Roman" w:cs="Times New Roman"/>
          <w:sz w:val="24"/>
          <w:szCs w:val="24"/>
        </w:rPr>
        <w:t>.</w:t>
      </w:r>
      <w:r w:rsidR="00A0056B">
        <w:t xml:space="preserve"> </w:t>
      </w:r>
      <w:r w:rsidR="004A4735" w:rsidRPr="004A4735">
        <w:rPr>
          <w:rFonts w:ascii="Times New Roman" w:hAnsi="Times New Roman" w:cs="Times New Roman"/>
          <w:i/>
          <w:iCs/>
          <w:sz w:val="24"/>
          <w:szCs w:val="24"/>
        </w:rPr>
        <w:t>Human Rights and the Care of Older People: Dignity, Vulnerability, and the Anti-Torture Norm</w:t>
      </w:r>
      <w:r w:rsidR="00C875A0">
        <w:rPr>
          <w:rFonts w:ascii="Times New Roman" w:hAnsi="Times New Roman" w:cs="Times New Roman"/>
          <w:sz w:val="24"/>
          <w:szCs w:val="24"/>
        </w:rPr>
        <w:t xml:space="preserve"> </w:t>
      </w:r>
      <w:r w:rsidR="000E090A">
        <w:rPr>
          <w:rFonts w:ascii="Times New Roman" w:hAnsi="Times New Roman" w:cs="Times New Roman"/>
          <w:sz w:val="24"/>
          <w:szCs w:val="24"/>
        </w:rPr>
        <w:t xml:space="preserve">is aspirational and </w:t>
      </w:r>
      <w:r w:rsidR="00EC53D2">
        <w:rPr>
          <w:rFonts w:ascii="Times New Roman" w:hAnsi="Times New Roman" w:cs="Times New Roman"/>
          <w:sz w:val="24"/>
          <w:szCs w:val="24"/>
        </w:rPr>
        <w:t xml:space="preserve">makes an </w:t>
      </w:r>
      <w:r w:rsidR="00C61373">
        <w:rPr>
          <w:rFonts w:ascii="Times New Roman" w:hAnsi="Times New Roman" w:cs="Times New Roman"/>
          <w:sz w:val="24"/>
          <w:szCs w:val="24"/>
        </w:rPr>
        <w:t>important contribution to</w:t>
      </w:r>
      <w:r w:rsidR="0000393F">
        <w:rPr>
          <w:rFonts w:ascii="Times New Roman" w:hAnsi="Times New Roman" w:cs="Times New Roman"/>
          <w:sz w:val="24"/>
          <w:szCs w:val="24"/>
        </w:rPr>
        <w:t xml:space="preserve"> </w:t>
      </w:r>
      <w:r w:rsidR="00FD42D5">
        <w:rPr>
          <w:rFonts w:ascii="Times New Roman" w:hAnsi="Times New Roman" w:cs="Times New Roman"/>
          <w:sz w:val="24"/>
          <w:szCs w:val="24"/>
        </w:rPr>
        <w:t xml:space="preserve">theoretical and </w:t>
      </w:r>
      <w:r w:rsidR="00CC4E46">
        <w:rPr>
          <w:rFonts w:ascii="Times New Roman" w:hAnsi="Times New Roman" w:cs="Times New Roman"/>
          <w:sz w:val="24"/>
          <w:szCs w:val="24"/>
        </w:rPr>
        <w:t xml:space="preserve">policy debates about </w:t>
      </w:r>
      <w:r w:rsidR="003E4AE3">
        <w:rPr>
          <w:rFonts w:ascii="Times New Roman" w:hAnsi="Times New Roman" w:cs="Times New Roman"/>
          <w:sz w:val="24"/>
          <w:szCs w:val="24"/>
        </w:rPr>
        <w:t xml:space="preserve">adopting </w:t>
      </w:r>
      <w:r w:rsidR="007630D9">
        <w:rPr>
          <w:rFonts w:ascii="Times New Roman" w:hAnsi="Times New Roman" w:cs="Times New Roman"/>
          <w:sz w:val="24"/>
          <w:szCs w:val="24"/>
        </w:rPr>
        <w:t>exp</w:t>
      </w:r>
      <w:r w:rsidR="00513B38">
        <w:rPr>
          <w:rFonts w:ascii="Times New Roman" w:hAnsi="Times New Roman" w:cs="Times New Roman"/>
          <w:sz w:val="24"/>
          <w:szCs w:val="24"/>
        </w:rPr>
        <w:t xml:space="preserve">licit </w:t>
      </w:r>
      <w:r w:rsidR="00B15E83">
        <w:rPr>
          <w:rFonts w:ascii="Times New Roman" w:hAnsi="Times New Roman" w:cs="Times New Roman"/>
          <w:sz w:val="24"/>
          <w:szCs w:val="24"/>
        </w:rPr>
        <w:t xml:space="preserve">human rights </w:t>
      </w:r>
      <w:r w:rsidR="007630D9">
        <w:rPr>
          <w:rFonts w:ascii="Times New Roman" w:hAnsi="Times New Roman" w:cs="Times New Roman"/>
          <w:sz w:val="24"/>
          <w:szCs w:val="24"/>
        </w:rPr>
        <w:t>considerations</w:t>
      </w:r>
      <w:r w:rsidR="00B15E83">
        <w:rPr>
          <w:rFonts w:ascii="Times New Roman" w:hAnsi="Times New Roman" w:cs="Times New Roman"/>
          <w:sz w:val="24"/>
          <w:szCs w:val="24"/>
        </w:rPr>
        <w:t xml:space="preserve"> in the design of social care</w:t>
      </w:r>
      <w:r w:rsidR="00F01A9F">
        <w:rPr>
          <w:rFonts w:ascii="Times New Roman" w:hAnsi="Times New Roman" w:cs="Times New Roman"/>
          <w:sz w:val="24"/>
          <w:szCs w:val="24"/>
        </w:rPr>
        <w:t xml:space="preserve"> regimes</w:t>
      </w:r>
      <w:r w:rsidR="001E5934">
        <w:rPr>
          <w:rFonts w:ascii="Times New Roman" w:hAnsi="Times New Roman" w:cs="Times New Roman"/>
          <w:sz w:val="24"/>
          <w:szCs w:val="24"/>
        </w:rPr>
        <w:t>.</w:t>
      </w:r>
      <w:r w:rsidR="00B15E83">
        <w:rPr>
          <w:rFonts w:ascii="Times New Roman" w:hAnsi="Times New Roman" w:cs="Times New Roman"/>
          <w:sz w:val="24"/>
          <w:szCs w:val="24"/>
        </w:rPr>
        <w:t xml:space="preserve"> </w:t>
      </w:r>
    </w:p>
    <w:p w14:paraId="7A2FF960" w14:textId="146E1A8B" w:rsidR="00C055E7" w:rsidRDefault="004826FA" w:rsidP="00C055E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Drawing from</w:t>
      </w:r>
      <w:r w:rsidR="00B81B0D">
        <w:rPr>
          <w:rFonts w:ascii="Times New Roman" w:hAnsi="Times New Roman" w:cs="Times New Roman"/>
          <w:sz w:val="24"/>
          <w:szCs w:val="24"/>
        </w:rPr>
        <w:t xml:space="preserve"> </w:t>
      </w:r>
      <w:r w:rsidR="00686693">
        <w:rPr>
          <w:rFonts w:ascii="Times New Roman" w:hAnsi="Times New Roman" w:cs="Times New Roman"/>
          <w:sz w:val="24"/>
          <w:szCs w:val="24"/>
        </w:rPr>
        <w:t xml:space="preserve">legal </w:t>
      </w:r>
      <w:r w:rsidR="006F2A5D">
        <w:rPr>
          <w:rFonts w:ascii="Times New Roman" w:hAnsi="Times New Roman" w:cs="Times New Roman"/>
          <w:sz w:val="24"/>
          <w:szCs w:val="24"/>
        </w:rPr>
        <w:t xml:space="preserve">debates </w:t>
      </w:r>
      <w:r w:rsidR="00B20427">
        <w:rPr>
          <w:rFonts w:ascii="Times New Roman" w:hAnsi="Times New Roman" w:cs="Times New Roman"/>
          <w:sz w:val="24"/>
          <w:szCs w:val="24"/>
        </w:rPr>
        <w:t xml:space="preserve">(especially </w:t>
      </w:r>
      <w:r w:rsidR="00FE6070">
        <w:rPr>
          <w:rFonts w:ascii="Times New Roman" w:hAnsi="Times New Roman" w:cs="Times New Roman"/>
          <w:sz w:val="24"/>
          <w:szCs w:val="24"/>
        </w:rPr>
        <w:t>human rights</w:t>
      </w:r>
      <w:r>
        <w:rPr>
          <w:rFonts w:ascii="Times New Roman" w:hAnsi="Times New Roman" w:cs="Times New Roman"/>
          <w:sz w:val="24"/>
          <w:szCs w:val="24"/>
        </w:rPr>
        <w:t xml:space="preserve"> </w:t>
      </w:r>
      <w:r w:rsidR="00B20427">
        <w:rPr>
          <w:rFonts w:ascii="Times New Roman" w:hAnsi="Times New Roman" w:cs="Times New Roman"/>
          <w:sz w:val="24"/>
          <w:szCs w:val="24"/>
        </w:rPr>
        <w:t xml:space="preserve">related literature) </w:t>
      </w:r>
      <w:r>
        <w:rPr>
          <w:rFonts w:ascii="Times New Roman" w:hAnsi="Times New Roman" w:cs="Times New Roman"/>
          <w:sz w:val="24"/>
          <w:szCs w:val="24"/>
        </w:rPr>
        <w:t xml:space="preserve">and </w:t>
      </w:r>
      <w:r w:rsidR="008D7644">
        <w:rPr>
          <w:rFonts w:ascii="Times New Roman" w:hAnsi="Times New Roman" w:cs="Times New Roman"/>
          <w:sz w:val="24"/>
          <w:szCs w:val="24"/>
        </w:rPr>
        <w:t>social care literature</w:t>
      </w:r>
      <w:r w:rsidR="00C055E7" w:rsidRPr="00C055E7">
        <w:rPr>
          <w:rFonts w:ascii="Times New Roman" w:hAnsi="Times New Roman" w:cs="Times New Roman"/>
          <w:sz w:val="24"/>
          <w:szCs w:val="24"/>
        </w:rPr>
        <w:t xml:space="preserve">, O’Rourke highlights the pervasiveness of older people’s care-related mistreatment across the globe, from denial of legal capacity to lack of access to end-of-life care and palliative medication </w:t>
      </w:r>
      <w:r w:rsidR="00C055E7" w:rsidRPr="00C055E7">
        <w:rPr>
          <w:rFonts w:ascii="Times New Roman" w:hAnsi="Times New Roman" w:cs="Times New Roman"/>
          <w:sz w:val="24"/>
          <w:szCs w:val="24"/>
        </w:rPr>
        <w:fldChar w:fldCharType="begin"/>
      </w:r>
      <w:r w:rsidR="00387C4B">
        <w:rPr>
          <w:rFonts w:ascii="Times New Roman" w:hAnsi="Times New Roman" w:cs="Times New Roman"/>
          <w:sz w:val="24"/>
          <w:szCs w:val="24"/>
        </w:rPr>
        <w:instrText xml:space="preserve"> ADDIN ZOTERO_ITEM CSL_CITATION {"citationID":"f2y42r4c","properties":{"formattedCitation":"(O\\uc0\\u8217{}Rourke, 2024, pp. 1\\uc0\\u8211{}2)","plainCitation":"(O’Rourke, 2024, pp. 1–2)","dontUpdate":true,"noteIndex":0},"citationItems":[{"id":9800,"uris":["http://zotero.org/users/3321160/items/VCC24M9A"],"itemData":{"id":9800,"type":"book","abstract":"Set against the rapid aging of the world's population, Human Rights and the Care of Older People explores the potential for the rule against torture and ill-treatment in international human rights law to better protect older people from care-related mistreatment. The book's analysis is broadly relevant but is prompted by the widespread reports of older people's suffering due to lack of access to care and coercion in respect of care needs. This includes the deprivation of liberty for 'care'.While recognizing that a new United Nations Convention on the rights of older people is on the horizon, the book argues that there is a pressing need for older people and all human rights actors to use and progressively interpret the established right to freedom from torture and ill-treatment. As an interpretive lens, the book offers a conception of a dignity violation that may amount to prohibited ill-treatment and thus trigger states' positive obligations to protect, including through systemic prevention measures. This book is intended as a tool for advocacy and a call for critical awareness, highlighting the anti-torture norm's potential for more effective application and challenging current legal barriers to such effectiveness. Meant for readers worldwide, the book addresses the rule against torture and ill-treatment from international law, regional European, Inter-American, and African perspectives.This is an open access title available under the terms of a CC BY-NC-ND 4.0 International licence. It is free to read on Oxford Academic and offered as a free PDF download from OUP and selected open access locations.\n             \n             \n              \n            ,  \n             Set against the rapid aging of the world's population, Human Rights and the Care of Older People explores the potential for the rule against torture and ill-treatment in international human rights law to better protect older people from care-related mistreatment. The book's analysis is broadly relevant but is prompted by the widespread reports of older people's suffering due to lack of access to care and coercion in respect of care needs. This includes the deprivation of liberty for 'care'.While recognizing that a new United Nations Convention on the rights of older people is on the horizon, the book argues that there is a pressing need for older people and all human rights actors to use and progressively interpret the established right to freedom from torture and ill-treatment. As an interpretive lens, the book offers a conception of a dignity violation that may amount to prohibited ill-treatment and thus trigger states' positive obligations to protect, including through systemic prevention measures. This book is intended as a tool for advocacy and a call for critical awareness, highlighting the anti-torture norm's potential for more effective application and challenging current legal barriers to such effectiveness. Meant for readers worldwide, the book addresses the rule against torture and ill-treatment from international law, regional European, Inter-American, and African perspectives.This is an open access title available under the terms of a CC BY-NC-ND 4.0 International licence. It is free to read on Oxford Academic and offered as a free PDF download from OUP and selected open access locations.","event-place":"Oxford, New York","ISBN":"978-0-19-285971-6","number-of-pages":"288","publisher":"Oxford University Press","publisher-place":"Oxford, New York","source":"Oxford University Press","title":"Human Rights and the Care of Older People: Dignity, Vulnerability, and the Anti-Torture Norm","title-short":"Human Rights and the Care of Older People","author":[{"family":"O’Rourke","given":"Maeve"}],"issued":{"date-parts":[["2024",5,20]]}},"locator":"1-2","label":"page"}],"schema":"https://github.com/citation-style-language/schema/raw/master/csl-citation.json"} </w:instrText>
      </w:r>
      <w:r w:rsidR="00C055E7" w:rsidRPr="00C055E7">
        <w:rPr>
          <w:rFonts w:ascii="Times New Roman" w:hAnsi="Times New Roman" w:cs="Times New Roman"/>
          <w:sz w:val="24"/>
          <w:szCs w:val="24"/>
        </w:rPr>
        <w:fldChar w:fldCharType="separate"/>
      </w:r>
      <w:r w:rsidR="00C055E7" w:rsidRPr="00C055E7">
        <w:rPr>
          <w:rFonts w:ascii="Times New Roman" w:hAnsi="Times New Roman" w:cs="Times New Roman"/>
          <w:sz w:val="24"/>
          <w:szCs w:val="24"/>
        </w:rPr>
        <w:t>(pp. 1–2)</w:t>
      </w:r>
      <w:r w:rsidR="00C055E7" w:rsidRPr="00C055E7">
        <w:rPr>
          <w:rFonts w:ascii="Times New Roman" w:hAnsi="Times New Roman" w:cs="Times New Roman"/>
          <w:sz w:val="24"/>
          <w:szCs w:val="24"/>
        </w:rPr>
        <w:fldChar w:fldCharType="end"/>
      </w:r>
      <w:r w:rsidR="00C055E7" w:rsidRPr="00C055E7">
        <w:rPr>
          <w:rFonts w:ascii="Times New Roman" w:hAnsi="Times New Roman" w:cs="Times New Roman"/>
          <w:sz w:val="24"/>
          <w:szCs w:val="24"/>
        </w:rPr>
        <w:t xml:space="preserve">.  Under international law, such as the UN </w:t>
      </w:r>
      <w:r w:rsidR="00C055E7" w:rsidRPr="00C055E7">
        <w:rPr>
          <w:rFonts w:ascii="Times New Roman" w:hAnsi="Times New Roman" w:cs="Times New Roman"/>
          <w:i/>
          <w:iCs/>
          <w:sz w:val="24"/>
          <w:szCs w:val="24"/>
        </w:rPr>
        <w:t>Convention against Torture and other Cruel, Inhuman or Degrading Treatment or Punishment</w:t>
      </w:r>
      <w:r w:rsidR="00C055E7" w:rsidRPr="00C055E7">
        <w:rPr>
          <w:rFonts w:ascii="Times New Roman" w:hAnsi="Times New Roman" w:cs="Times New Roman"/>
          <w:sz w:val="24"/>
          <w:szCs w:val="24"/>
        </w:rPr>
        <w:t xml:space="preserve">, the prohibition of torture and </w:t>
      </w:r>
      <w:r w:rsidR="00C055E7" w:rsidRPr="00C055E7">
        <w:rPr>
          <w:rFonts w:ascii="Times New Roman" w:hAnsi="Times New Roman" w:cs="Times New Roman"/>
          <w:sz w:val="24"/>
          <w:szCs w:val="24"/>
        </w:rPr>
        <w:lastRenderedPageBreak/>
        <w:t>other cruel, inhuman, or degrading treatment or punishment is absolute</w:t>
      </w:r>
      <w:r w:rsidR="00E96E74">
        <w:rPr>
          <w:rFonts w:ascii="Times New Roman" w:hAnsi="Times New Roman" w:cs="Times New Roman"/>
          <w:sz w:val="24"/>
          <w:szCs w:val="24"/>
        </w:rPr>
        <w:t xml:space="preserve"> (</w:t>
      </w:r>
      <w:r w:rsidR="00201D26">
        <w:rPr>
          <w:rFonts w:ascii="Times New Roman" w:hAnsi="Times New Roman" w:cs="Times New Roman"/>
          <w:sz w:val="24"/>
          <w:szCs w:val="24"/>
        </w:rPr>
        <w:t>‘</w:t>
      </w:r>
      <w:r w:rsidR="009E09C3">
        <w:rPr>
          <w:rFonts w:ascii="Times New Roman" w:hAnsi="Times New Roman" w:cs="Times New Roman"/>
          <w:sz w:val="24"/>
          <w:szCs w:val="24"/>
        </w:rPr>
        <w:t>the</w:t>
      </w:r>
      <w:r w:rsidR="00335B76">
        <w:rPr>
          <w:rFonts w:ascii="Times New Roman" w:hAnsi="Times New Roman" w:cs="Times New Roman"/>
          <w:sz w:val="24"/>
          <w:szCs w:val="24"/>
        </w:rPr>
        <w:t xml:space="preserve"> </w:t>
      </w:r>
      <w:r w:rsidR="00E96E74">
        <w:rPr>
          <w:rFonts w:ascii="Times New Roman" w:hAnsi="Times New Roman" w:cs="Times New Roman"/>
          <w:sz w:val="24"/>
          <w:szCs w:val="24"/>
        </w:rPr>
        <w:t>anti-torture norm</w:t>
      </w:r>
      <w:r w:rsidR="00201D26">
        <w:rPr>
          <w:rFonts w:ascii="Times New Roman" w:hAnsi="Times New Roman" w:cs="Times New Roman"/>
          <w:sz w:val="24"/>
          <w:szCs w:val="24"/>
        </w:rPr>
        <w:t>’</w:t>
      </w:r>
      <w:r w:rsidR="009E09C3">
        <w:rPr>
          <w:rFonts w:ascii="Times New Roman" w:hAnsi="Times New Roman" w:cs="Times New Roman"/>
          <w:sz w:val="24"/>
          <w:szCs w:val="24"/>
        </w:rPr>
        <w:t xml:space="preserve"> for short</w:t>
      </w:r>
      <w:r w:rsidR="00E96E74">
        <w:rPr>
          <w:rFonts w:ascii="Times New Roman" w:hAnsi="Times New Roman" w:cs="Times New Roman"/>
          <w:sz w:val="24"/>
          <w:szCs w:val="24"/>
        </w:rPr>
        <w:t>)</w:t>
      </w:r>
      <w:r w:rsidR="00C055E7" w:rsidRPr="00C055E7">
        <w:rPr>
          <w:rFonts w:ascii="Times New Roman" w:hAnsi="Times New Roman" w:cs="Times New Roman"/>
          <w:sz w:val="24"/>
          <w:szCs w:val="24"/>
        </w:rPr>
        <w:t xml:space="preserve">. </w:t>
      </w:r>
      <w:r w:rsidR="00AB2216">
        <w:rPr>
          <w:rFonts w:ascii="Times New Roman" w:hAnsi="Times New Roman" w:cs="Times New Roman"/>
          <w:sz w:val="24"/>
          <w:szCs w:val="24"/>
        </w:rPr>
        <w:t xml:space="preserve">The term </w:t>
      </w:r>
      <w:r w:rsidR="0001000D">
        <w:rPr>
          <w:rFonts w:ascii="Times New Roman" w:hAnsi="Times New Roman" w:cs="Times New Roman"/>
          <w:sz w:val="24"/>
          <w:szCs w:val="24"/>
        </w:rPr>
        <w:t xml:space="preserve">‘ill-treatment’ refers to </w:t>
      </w:r>
      <w:r w:rsidR="00E4471A">
        <w:rPr>
          <w:rFonts w:ascii="Times New Roman" w:hAnsi="Times New Roman" w:cs="Times New Roman"/>
          <w:sz w:val="24"/>
          <w:szCs w:val="24"/>
        </w:rPr>
        <w:t xml:space="preserve">all forms </w:t>
      </w:r>
      <w:r w:rsidR="00E4471A" w:rsidRPr="00C055E7">
        <w:rPr>
          <w:rFonts w:ascii="Times New Roman" w:hAnsi="Times New Roman" w:cs="Times New Roman"/>
          <w:sz w:val="24"/>
          <w:szCs w:val="24"/>
        </w:rPr>
        <w:t>cruel, inhuman, or degrading treatment or punishment</w:t>
      </w:r>
      <w:r w:rsidR="007B3C27">
        <w:rPr>
          <w:rFonts w:ascii="Times New Roman" w:hAnsi="Times New Roman" w:cs="Times New Roman"/>
          <w:sz w:val="24"/>
          <w:szCs w:val="24"/>
        </w:rPr>
        <w:t xml:space="preserve"> (p. 13).</w:t>
      </w:r>
      <w:r w:rsidR="00E4471A">
        <w:rPr>
          <w:rFonts w:ascii="Times New Roman" w:hAnsi="Times New Roman" w:cs="Times New Roman"/>
          <w:sz w:val="24"/>
          <w:szCs w:val="24"/>
        </w:rPr>
        <w:t xml:space="preserve"> </w:t>
      </w:r>
      <w:r w:rsidR="00F87C63">
        <w:rPr>
          <w:rFonts w:ascii="Times New Roman" w:hAnsi="Times New Roman" w:cs="Times New Roman"/>
          <w:sz w:val="24"/>
          <w:szCs w:val="24"/>
        </w:rPr>
        <w:t>A c</w:t>
      </w:r>
      <w:r w:rsidR="005D5724" w:rsidRPr="005D5724">
        <w:rPr>
          <w:rFonts w:ascii="Times New Roman" w:hAnsi="Times New Roman" w:cs="Times New Roman"/>
          <w:sz w:val="24"/>
          <w:szCs w:val="24"/>
        </w:rPr>
        <w:t>onduct and/or suffering must reach a minimum level of ‘severity’ in order to amount to torture or ill</w:t>
      </w:r>
      <w:r w:rsidR="002B2847">
        <w:rPr>
          <w:rFonts w:ascii="Times New Roman" w:hAnsi="Times New Roman" w:cs="Times New Roman"/>
          <w:sz w:val="24"/>
          <w:szCs w:val="24"/>
        </w:rPr>
        <w:t xml:space="preserve"> </w:t>
      </w:r>
      <w:r w:rsidR="005D5724" w:rsidRPr="005D5724">
        <w:rPr>
          <w:rFonts w:ascii="Times New Roman" w:hAnsi="Times New Roman" w:cs="Times New Roman"/>
          <w:sz w:val="24"/>
          <w:szCs w:val="24"/>
        </w:rPr>
        <w:t>treatment</w:t>
      </w:r>
      <w:r w:rsidR="00D540D6">
        <w:rPr>
          <w:rFonts w:ascii="Times New Roman" w:hAnsi="Times New Roman" w:cs="Times New Roman"/>
          <w:sz w:val="24"/>
          <w:szCs w:val="24"/>
        </w:rPr>
        <w:t xml:space="preserve"> (p. 39)</w:t>
      </w:r>
      <w:r w:rsidR="005D5724" w:rsidRPr="005D5724">
        <w:rPr>
          <w:rFonts w:ascii="Times New Roman" w:hAnsi="Times New Roman" w:cs="Times New Roman"/>
          <w:sz w:val="24"/>
          <w:szCs w:val="24"/>
        </w:rPr>
        <w:t xml:space="preserve">. </w:t>
      </w:r>
      <w:r w:rsidR="00C055E7" w:rsidRPr="00C055E7">
        <w:rPr>
          <w:rFonts w:ascii="Times New Roman" w:hAnsi="Times New Roman" w:cs="Times New Roman"/>
          <w:sz w:val="24"/>
          <w:szCs w:val="24"/>
        </w:rPr>
        <w:t xml:space="preserve">Crucially, no emergency, financial constraint, nor domestic law will justify a failure to comply with the prohibition </w:t>
      </w:r>
      <w:r w:rsidR="00C055E7" w:rsidRPr="00C055E7">
        <w:rPr>
          <w:rFonts w:ascii="Times New Roman" w:hAnsi="Times New Roman" w:cs="Times New Roman"/>
          <w:sz w:val="24"/>
          <w:szCs w:val="24"/>
        </w:rPr>
        <w:fldChar w:fldCharType="begin"/>
      </w:r>
      <w:r w:rsidR="00387C4B">
        <w:rPr>
          <w:rFonts w:ascii="Times New Roman" w:hAnsi="Times New Roman" w:cs="Times New Roman"/>
          <w:sz w:val="24"/>
          <w:szCs w:val="24"/>
        </w:rPr>
        <w:instrText xml:space="preserve"> ADDIN ZOTERO_ITEM CSL_CITATION {"citationID":"LvCgWPiN","properties":{"formattedCitation":"(O\\uc0\\u8217{}Rourke, 2024, pp. 19\\uc0\\u8211{}20)","plainCitation":"(O’Rourke, 2024, pp. 19–20)","dontUpdate":true,"noteIndex":0},"citationItems":[{"id":9800,"uris":["http://zotero.org/users/3321160/items/VCC24M9A"],"itemData":{"id":9800,"type":"book","abstract":"Set against the rapid aging of the world's population, Human Rights and the Care of Older People explores the potential for the rule against torture and ill-treatment in international human rights law to better protect older people from care-related mistreatment. The book's analysis is broadly relevant but is prompted by the widespread reports of older people's suffering due to lack of access to care and coercion in respect of care needs. This includes the deprivation of liberty for 'care'.While recognizing that a new United Nations Convention on the rights of older people is on the horizon, the book argues that there is a pressing need for older people and all human rights actors to use and progressively interpret the established right to freedom from torture and ill-treatment. As an interpretive lens, the book offers a conception of a dignity violation that may amount to prohibited ill-treatment and thus trigger states' positive obligations to protect, including through systemic prevention measures. This book is intended as a tool for advocacy and a call for critical awareness, highlighting the anti-torture norm's potential for more effective application and challenging current legal barriers to such effectiveness. Meant for readers worldwide, the book addresses the rule against torture and ill-treatment from international law, regional European, Inter-American, and African perspectives.This is an open access title available under the terms of a CC BY-NC-ND 4.0 International licence. It is free to read on Oxford Academic and offered as a free PDF download from OUP and selected open access locations.\n             \n             \n              \n            ,  \n             Set against the rapid aging of the world's population, Human Rights and the Care of Older People explores the potential for the rule against torture and ill-treatment in international human rights law to better protect older people from care-related mistreatment. The book's analysis is broadly relevant but is prompted by the widespread reports of older people's suffering due to lack of access to care and coercion in respect of care needs. This includes the deprivation of liberty for 'care'.While recognizing that a new United Nations Convention on the rights of older people is on the horizon, the book argues that there is a pressing need for older people and all human rights actors to use and progressively interpret the established right to freedom from torture and ill-treatment. As an interpretive lens, the book offers a conception of a dignity violation that may amount to prohibited ill-treatment and thus trigger states' positive obligations to protect, including through systemic prevention measures. This book is intended as a tool for advocacy and a call for critical awareness, highlighting the anti-torture norm's potential for more effective application and challenging current legal barriers to such effectiveness. Meant for readers worldwide, the book addresses the rule against torture and ill-treatment from international law, regional European, Inter-American, and African perspectives.This is an open access title available under the terms of a CC BY-NC-ND 4.0 International licence. It is free to read on Oxford Academic and offered as a free PDF download from OUP and selected open access locations.","event-place":"Oxford, New York","ISBN":"978-0-19-285971-6","number-of-pages":"288","publisher":"Oxford University Press","publisher-place":"Oxford, New York","source":"Oxford University Press","title":"Human Rights and the Care of Older People: Dignity, Vulnerability, and the Anti-Torture Norm","title-short":"Human Rights and the Care of Older People","author":[{"family":"O’Rourke","given":"Maeve"}],"issued":{"date-parts":[["2024",5,20]]}},"locator":"19-20","label":"page"}],"schema":"https://github.com/citation-style-language/schema/raw/master/csl-citation.json"} </w:instrText>
      </w:r>
      <w:r w:rsidR="00C055E7" w:rsidRPr="00C055E7">
        <w:rPr>
          <w:rFonts w:ascii="Times New Roman" w:hAnsi="Times New Roman" w:cs="Times New Roman"/>
          <w:sz w:val="24"/>
          <w:szCs w:val="24"/>
        </w:rPr>
        <w:fldChar w:fldCharType="separate"/>
      </w:r>
      <w:r w:rsidR="00C055E7" w:rsidRPr="00C055E7">
        <w:rPr>
          <w:rFonts w:ascii="Times New Roman" w:hAnsi="Times New Roman" w:cs="Times New Roman"/>
          <w:sz w:val="24"/>
          <w:szCs w:val="24"/>
        </w:rPr>
        <w:t>(pp. 19–20)</w:t>
      </w:r>
      <w:r w:rsidR="00C055E7" w:rsidRPr="00C055E7">
        <w:rPr>
          <w:rFonts w:ascii="Times New Roman" w:hAnsi="Times New Roman" w:cs="Times New Roman"/>
          <w:sz w:val="24"/>
          <w:szCs w:val="24"/>
        </w:rPr>
        <w:fldChar w:fldCharType="end"/>
      </w:r>
      <w:r w:rsidR="00C055E7" w:rsidRPr="00C055E7">
        <w:rPr>
          <w:rFonts w:ascii="Times New Roman" w:hAnsi="Times New Roman" w:cs="Times New Roman"/>
          <w:sz w:val="24"/>
          <w:szCs w:val="24"/>
        </w:rPr>
        <w:t xml:space="preserve">. States are obliged, first and foremost, to refrain from engaging in acts of torture or ill-treatment (negative duty) </w:t>
      </w:r>
      <w:r w:rsidR="00C055E7" w:rsidRPr="00C055E7">
        <w:rPr>
          <w:rFonts w:ascii="Times New Roman" w:hAnsi="Times New Roman" w:cs="Times New Roman"/>
          <w:sz w:val="24"/>
          <w:szCs w:val="24"/>
        </w:rPr>
        <w:fldChar w:fldCharType="begin"/>
      </w:r>
      <w:r w:rsidR="00387C4B">
        <w:rPr>
          <w:rFonts w:ascii="Times New Roman" w:hAnsi="Times New Roman" w:cs="Times New Roman"/>
          <w:sz w:val="24"/>
          <w:szCs w:val="24"/>
        </w:rPr>
        <w:instrText xml:space="preserve"> ADDIN ZOTERO_ITEM CSL_CITATION {"citationID":"R19I7lBe","properties":{"formattedCitation":"(O\\uc0\\u8217{}Rourke, 2024, p. 21)","plainCitation":"(O’Rourke, 2024, p. 21)","dontUpdate":true,"noteIndex":0},"citationItems":[{"id":9800,"uris":["http://zotero.org/users/3321160/items/VCC24M9A"],"itemData":{"id":9800,"type":"book","abstract":"Set against the rapid aging of the world's population, Human Rights and the Care of Older People explores the potential for the rule against torture and ill-treatment in international human rights law to better protect older people from care-related mistreatment. The book's analysis is broadly relevant but is prompted by the widespread reports of older people's suffering due to lack of access to care and coercion in respect of care needs. This includes the deprivation of liberty for 'care'.While recognizing that a new United Nations Convention on the rights of older people is on the horizon, the book argues that there is a pressing need for older people and all human rights actors to use and progressively interpret the established right to freedom from torture and ill-treatment. As an interpretive lens, the book offers a conception of a dignity violation that may amount to prohibited ill-treatment and thus trigger states' positive obligations to protect, including through systemic prevention measures. This book is intended as a tool for advocacy and a call for critical awareness, highlighting the anti-torture norm's potential for more effective application and challenging current legal barriers to such effectiveness. Meant for readers worldwide, the book addresses the rule against torture and ill-treatment from international law, regional European, Inter-American, and African perspectives.This is an open access title available under the terms of a CC BY-NC-ND 4.0 International licence. It is free to read on Oxford Academic and offered as a free PDF download from OUP and selected open access locations.\n             \n             \n              \n            ,  \n             Set against the rapid aging of the world's population, Human Rights and the Care of Older People explores the potential for the rule against torture and ill-treatment in international human rights law to better protect older people from care-related mistreatment. The book's analysis is broadly relevant but is prompted by the widespread reports of older people's suffering due to lack of access to care and coercion in respect of care needs. This includes the deprivation of liberty for 'care'.While recognizing that a new United Nations Convention on the rights of older people is on the horizon, the book argues that there is a pressing need for older people and all human rights actors to use and progressively interpret the established right to freedom from torture and ill-treatment. As an interpretive lens, the book offers a conception of a dignity violation that may amount to prohibited ill-treatment and thus trigger states' positive obligations to protect, including through systemic prevention measures. This book is intended as a tool for advocacy and a call for critical awareness, highlighting the anti-torture norm's potential for more effective application and challenging current legal barriers to such effectiveness. Meant for readers worldwide, the book addresses the rule against torture and ill-treatment from international law, regional European, Inter-American, and African perspectives.This is an open access title available under the terms of a CC BY-NC-ND 4.0 International licence. It is free to read on Oxford Academic and offered as a free PDF download from OUP and selected open access locations.","event-place":"Oxford, New York","ISBN":"978-0-19-285971-6","number-of-pages":"288","publisher":"Oxford University Press","publisher-place":"Oxford, New York","source":"Oxford University Press","title":"Human Rights and the Care of Older People: Dignity, Vulnerability, and the Anti-Torture Norm","title-short":"Human Rights and the Care of Older People","author":[{"family":"O’Rourke","given":"Maeve"}],"issued":{"date-parts":[["2024",5,20]]}},"locator":"21","label":"page"}],"schema":"https://github.com/citation-style-language/schema/raw/master/csl-citation.json"} </w:instrText>
      </w:r>
      <w:r w:rsidR="00C055E7" w:rsidRPr="00C055E7">
        <w:rPr>
          <w:rFonts w:ascii="Times New Roman" w:hAnsi="Times New Roman" w:cs="Times New Roman"/>
          <w:sz w:val="24"/>
          <w:szCs w:val="24"/>
        </w:rPr>
        <w:fldChar w:fldCharType="separate"/>
      </w:r>
      <w:r w:rsidR="00C055E7" w:rsidRPr="00C055E7">
        <w:rPr>
          <w:rFonts w:ascii="Times New Roman" w:hAnsi="Times New Roman" w:cs="Times New Roman"/>
          <w:sz w:val="24"/>
          <w:szCs w:val="24"/>
        </w:rPr>
        <w:t>(p. 21)</w:t>
      </w:r>
      <w:r w:rsidR="00C055E7" w:rsidRPr="00C055E7">
        <w:rPr>
          <w:rFonts w:ascii="Times New Roman" w:hAnsi="Times New Roman" w:cs="Times New Roman"/>
          <w:sz w:val="24"/>
          <w:szCs w:val="24"/>
        </w:rPr>
        <w:fldChar w:fldCharType="end"/>
      </w:r>
      <w:r w:rsidR="00C055E7" w:rsidRPr="00C055E7">
        <w:rPr>
          <w:rFonts w:ascii="Times New Roman" w:hAnsi="Times New Roman" w:cs="Times New Roman"/>
          <w:sz w:val="24"/>
          <w:szCs w:val="24"/>
        </w:rPr>
        <w:t xml:space="preserve">. There are also a range of </w:t>
      </w:r>
      <w:r w:rsidR="007C6960">
        <w:rPr>
          <w:rFonts w:ascii="Times New Roman" w:hAnsi="Times New Roman" w:cs="Times New Roman"/>
          <w:sz w:val="24"/>
          <w:szCs w:val="24"/>
        </w:rPr>
        <w:t>‘</w:t>
      </w:r>
      <w:r w:rsidR="00C055E7" w:rsidRPr="00C055E7">
        <w:rPr>
          <w:rFonts w:ascii="Times New Roman" w:hAnsi="Times New Roman" w:cs="Times New Roman"/>
          <w:sz w:val="24"/>
          <w:szCs w:val="24"/>
        </w:rPr>
        <w:t>positive</w:t>
      </w:r>
      <w:r w:rsidR="007C6960">
        <w:rPr>
          <w:rFonts w:ascii="Times New Roman" w:hAnsi="Times New Roman" w:cs="Times New Roman"/>
          <w:sz w:val="24"/>
          <w:szCs w:val="24"/>
        </w:rPr>
        <w:t>’</w:t>
      </w:r>
      <w:r w:rsidR="00C055E7" w:rsidRPr="00C055E7">
        <w:rPr>
          <w:rFonts w:ascii="Times New Roman" w:hAnsi="Times New Roman" w:cs="Times New Roman"/>
          <w:sz w:val="24"/>
          <w:szCs w:val="24"/>
        </w:rPr>
        <w:t xml:space="preserve"> obligations to prevent and protect that states bear </w:t>
      </w:r>
      <w:r w:rsidR="00C055E7" w:rsidRPr="00C055E7">
        <w:rPr>
          <w:rFonts w:ascii="Times New Roman" w:hAnsi="Times New Roman" w:cs="Times New Roman"/>
          <w:sz w:val="24"/>
          <w:szCs w:val="24"/>
        </w:rPr>
        <w:fldChar w:fldCharType="begin"/>
      </w:r>
      <w:r w:rsidR="00387C4B">
        <w:rPr>
          <w:rFonts w:ascii="Times New Roman" w:hAnsi="Times New Roman" w:cs="Times New Roman"/>
          <w:sz w:val="24"/>
          <w:szCs w:val="24"/>
        </w:rPr>
        <w:instrText xml:space="preserve"> ADDIN ZOTERO_ITEM CSL_CITATION {"citationID":"pQdA1dRB","properties":{"formattedCitation":"(O\\uc0\\u8217{}Rourke, 2024, p. 18)","plainCitation":"(O’Rourke, 2024, p. 18)","dontUpdate":true,"noteIndex":0},"citationItems":[{"id":9800,"uris":["http://zotero.org/users/3321160/items/VCC24M9A"],"itemData":{"id":9800,"type":"book","abstract":"Set against the rapid aging of the world's population, Human Rights and the Care of Older People explores the potential for the rule against torture and ill-treatment in international human rights law to better protect older people from care-related mistreatment. The book's analysis is broadly relevant but is prompted by the widespread reports of older people's suffering due to lack of access to care and coercion in respect of care needs. This includes the deprivation of liberty for 'care'.While recognizing that a new United Nations Convention on the rights of older people is on the horizon, the book argues that there is a pressing need for older people and all human rights actors to use and progressively interpret the established right to freedom from torture and ill-treatment. As an interpretive lens, the book offers a conception of a dignity violation that may amount to prohibited ill-treatment and thus trigger states' positive obligations to protect, including through systemic prevention measures. This book is intended as a tool for advocacy and a call for critical awareness, highlighting the anti-torture norm's potential for more effective application and challenging current legal barriers to such effectiveness. Meant for readers worldwide, the book addresses the rule against torture and ill-treatment from international law, regional European, Inter-American, and African perspectives.This is an open access title available under the terms of a CC BY-NC-ND 4.0 International licence. It is free to read on Oxford Academic and offered as a free PDF download from OUP and selected open access locations.\n             \n             \n              \n            ,  \n             Set against the rapid aging of the world's population, Human Rights and the Care of Older People explores the potential for the rule against torture and ill-treatment in international human rights law to better protect older people from care-related mistreatment. The book's analysis is broadly relevant but is prompted by the widespread reports of older people's suffering due to lack of access to care and coercion in respect of care needs. This includes the deprivation of liberty for 'care'.While recognizing that a new United Nations Convention on the rights of older people is on the horizon, the book argues that there is a pressing need for older people and all human rights actors to use and progressively interpret the established right to freedom from torture and ill-treatment. As an interpretive lens, the book offers a conception of a dignity violation that may amount to prohibited ill-treatment and thus trigger states' positive obligations to protect, including through systemic prevention measures. This book is intended as a tool for advocacy and a call for critical awareness, highlighting the anti-torture norm's potential for more effective application and challenging current legal barriers to such effectiveness. Meant for readers worldwide, the book addresses the rule against torture and ill-treatment from international law, regional European, Inter-American, and African perspectives.This is an open access title available under the terms of a CC BY-NC-ND 4.0 International licence. It is free to read on Oxford Academic and offered as a free PDF download from OUP and selected open access locations.","event-place":"Oxford, New York","ISBN":"978-0-19-285971-6","number-of-pages":"288","publisher":"Oxford University Press","publisher-place":"Oxford, New York","source":"Oxford University Press","title":"Human Rights and the Care of Older People: Dignity, Vulnerability, and the Anti-Torture Norm","title-short":"Human Rights and the Care of Older People","author":[{"family":"O’Rourke","given":"Maeve"}],"issued":{"date-parts":[["2024",5,20]]}},"locator":"18","label":"page"}],"schema":"https://github.com/citation-style-language/schema/raw/master/csl-citation.json"} </w:instrText>
      </w:r>
      <w:r w:rsidR="00C055E7" w:rsidRPr="00C055E7">
        <w:rPr>
          <w:rFonts w:ascii="Times New Roman" w:hAnsi="Times New Roman" w:cs="Times New Roman"/>
          <w:sz w:val="24"/>
          <w:szCs w:val="24"/>
        </w:rPr>
        <w:fldChar w:fldCharType="separate"/>
      </w:r>
      <w:r w:rsidR="00C055E7" w:rsidRPr="00C055E7">
        <w:rPr>
          <w:rFonts w:ascii="Times New Roman" w:hAnsi="Times New Roman" w:cs="Times New Roman"/>
          <w:sz w:val="24"/>
          <w:szCs w:val="24"/>
        </w:rPr>
        <w:t>(p. 18)</w:t>
      </w:r>
      <w:r w:rsidR="00C055E7" w:rsidRPr="00C055E7">
        <w:rPr>
          <w:rFonts w:ascii="Times New Roman" w:hAnsi="Times New Roman" w:cs="Times New Roman"/>
          <w:sz w:val="24"/>
          <w:szCs w:val="24"/>
        </w:rPr>
        <w:fldChar w:fldCharType="end"/>
      </w:r>
      <w:r w:rsidR="00C055E7" w:rsidRPr="00C055E7">
        <w:rPr>
          <w:rFonts w:ascii="Times New Roman" w:hAnsi="Times New Roman" w:cs="Times New Roman"/>
          <w:sz w:val="24"/>
          <w:szCs w:val="24"/>
        </w:rPr>
        <w:t>.</w:t>
      </w:r>
      <w:r w:rsidR="005267AB">
        <w:rPr>
          <w:rFonts w:ascii="Times New Roman" w:hAnsi="Times New Roman" w:cs="Times New Roman"/>
          <w:sz w:val="24"/>
          <w:szCs w:val="24"/>
        </w:rPr>
        <w:t xml:space="preserve"> </w:t>
      </w:r>
      <w:r w:rsidR="00415DD9">
        <w:rPr>
          <w:rFonts w:ascii="Times New Roman" w:hAnsi="Times New Roman" w:cs="Times New Roman"/>
          <w:sz w:val="24"/>
          <w:szCs w:val="24"/>
        </w:rPr>
        <w:t>Such responsibility</w:t>
      </w:r>
      <w:r w:rsidR="00617916">
        <w:rPr>
          <w:rFonts w:ascii="Times New Roman" w:hAnsi="Times New Roman" w:cs="Times New Roman"/>
          <w:sz w:val="24"/>
          <w:szCs w:val="24"/>
        </w:rPr>
        <w:t xml:space="preserve"> </w:t>
      </w:r>
      <w:r w:rsidR="00FC531C">
        <w:rPr>
          <w:rFonts w:ascii="Times New Roman" w:hAnsi="Times New Roman" w:cs="Times New Roman"/>
          <w:sz w:val="24"/>
          <w:szCs w:val="24"/>
        </w:rPr>
        <w:t xml:space="preserve">is extended to </w:t>
      </w:r>
      <w:r w:rsidR="00CF21D8" w:rsidRPr="00CF21D8">
        <w:rPr>
          <w:rFonts w:ascii="Times New Roman" w:hAnsi="Times New Roman" w:cs="Times New Roman"/>
          <w:sz w:val="24"/>
          <w:szCs w:val="24"/>
        </w:rPr>
        <w:t xml:space="preserve">‘privately’ inflicted torture or ill-treatment of which the state knew or ought to know </w:t>
      </w:r>
      <w:r w:rsidR="00CF21D8">
        <w:rPr>
          <w:rFonts w:ascii="Times New Roman" w:hAnsi="Times New Roman" w:cs="Times New Roman"/>
          <w:sz w:val="24"/>
          <w:szCs w:val="24"/>
        </w:rPr>
        <w:t>(p.</w:t>
      </w:r>
      <w:r w:rsidR="00962229">
        <w:rPr>
          <w:rFonts w:ascii="Times New Roman" w:hAnsi="Times New Roman" w:cs="Times New Roman"/>
          <w:sz w:val="24"/>
          <w:szCs w:val="24"/>
        </w:rPr>
        <w:t xml:space="preserve"> </w:t>
      </w:r>
      <w:r w:rsidR="00CF21D8">
        <w:rPr>
          <w:rFonts w:ascii="Times New Roman" w:hAnsi="Times New Roman" w:cs="Times New Roman"/>
          <w:sz w:val="24"/>
          <w:szCs w:val="24"/>
        </w:rPr>
        <w:t xml:space="preserve">19). </w:t>
      </w:r>
      <w:r w:rsidR="003712D0">
        <w:rPr>
          <w:rFonts w:ascii="Times New Roman" w:hAnsi="Times New Roman" w:cs="Times New Roman"/>
          <w:sz w:val="24"/>
          <w:szCs w:val="24"/>
        </w:rPr>
        <w:t xml:space="preserve">This </w:t>
      </w:r>
      <w:r w:rsidR="00EA74E8">
        <w:rPr>
          <w:rFonts w:ascii="Times New Roman" w:hAnsi="Times New Roman" w:cs="Times New Roman"/>
          <w:sz w:val="24"/>
          <w:szCs w:val="24"/>
        </w:rPr>
        <w:t xml:space="preserve">book </w:t>
      </w:r>
      <w:r w:rsidR="006A1848">
        <w:rPr>
          <w:rFonts w:ascii="Times New Roman" w:hAnsi="Times New Roman" w:cs="Times New Roman"/>
          <w:sz w:val="24"/>
          <w:szCs w:val="24"/>
        </w:rPr>
        <w:t xml:space="preserve">focuses on </w:t>
      </w:r>
      <w:r w:rsidR="002B03E8">
        <w:rPr>
          <w:rFonts w:ascii="Times New Roman" w:hAnsi="Times New Roman" w:cs="Times New Roman"/>
          <w:sz w:val="24"/>
          <w:szCs w:val="24"/>
        </w:rPr>
        <w:t xml:space="preserve">the </w:t>
      </w:r>
      <w:r w:rsidR="00BE1266">
        <w:rPr>
          <w:rFonts w:ascii="Times New Roman" w:hAnsi="Times New Roman" w:cs="Times New Roman"/>
          <w:sz w:val="24"/>
          <w:szCs w:val="24"/>
        </w:rPr>
        <w:t>anti-torture norm</w:t>
      </w:r>
      <w:r w:rsidR="002E5099">
        <w:rPr>
          <w:rFonts w:ascii="Times New Roman" w:hAnsi="Times New Roman" w:cs="Times New Roman"/>
          <w:sz w:val="24"/>
          <w:szCs w:val="24"/>
        </w:rPr>
        <w:t xml:space="preserve"> </w:t>
      </w:r>
      <w:r w:rsidR="009D0C5E">
        <w:rPr>
          <w:rFonts w:ascii="Times New Roman" w:hAnsi="Times New Roman" w:cs="Times New Roman"/>
          <w:sz w:val="24"/>
          <w:szCs w:val="24"/>
        </w:rPr>
        <w:t xml:space="preserve">(especially </w:t>
      </w:r>
      <w:r w:rsidR="00484AC5">
        <w:rPr>
          <w:rFonts w:ascii="Times New Roman" w:hAnsi="Times New Roman" w:cs="Times New Roman"/>
          <w:sz w:val="24"/>
          <w:szCs w:val="24"/>
        </w:rPr>
        <w:t>on</w:t>
      </w:r>
      <w:r w:rsidR="009D0C5E">
        <w:rPr>
          <w:rFonts w:ascii="Times New Roman" w:hAnsi="Times New Roman" w:cs="Times New Roman"/>
          <w:sz w:val="24"/>
          <w:szCs w:val="24"/>
        </w:rPr>
        <w:t xml:space="preserve"> ill treatment) </w:t>
      </w:r>
      <w:r w:rsidR="002E5099">
        <w:rPr>
          <w:rFonts w:ascii="Times New Roman" w:hAnsi="Times New Roman" w:cs="Times New Roman"/>
          <w:sz w:val="24"/>
          <w:szCs w:val="24"/>
        </w:rPr>
        <w:t xml:space="preserve">because </w:t>
      </w:r>
      <w:r w:rsidR="00082AE6">
        <w:rPr>
          <w:rFonts w:ascii="Times New Roman" w:hAnsi="Times New Roman" w:cs="Times New Roman"/>
          <w:sz w:val="24"/>
          <w:szCs w:val="24"/>
        </w:rPr>
        <w:t xml:space="preserve">it is an ‘essential backstop to how social policy is designed </w:t>
      </w:r>
      <w:r w:rsidR="00C50E9C">
        <w:rPr>
          <w:rFonts w:ascii="Times New Roman" w:hAnsi="Times New Roman" w:cs="Times New Roman"/>
          <w:sz w:val="24"/>
          <w:szCs w:val="24"/>
        </w:rPr>
        <w:t>and implemented’ (p. 4).</w:t>
      </w:r>
    </w:p>
    <w:p w14:paraId="4F63E9BA" w14:textId="76D617F1" w:rsidR="009E7F89" w:rsidRDefault="004F04A8" w:rsidP="00C055E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After</w:t>
      </w:r>
      <w:r w:rsidR="00320DDB">
        <w:rPr>
          <w:rFonts w:ascii="Times New Roman" w:hAnsi="Times New Roman" w:cs="Times New Roman"/>
          <w:sz w:val="24"/>
          <w:szCs w:val="24"/>
        </w:rPr>
        <w:t xml:space="preserve"> introducing readers to the </w:t>
      </w:r>
      <w:r w:rsidR="00320DDB" w:rsidRPr="00EF0079">
        <w:rPr>
          <w:rFonts w:ascii="Times New Roman" w:hAnsi="Times New Roman" w:cs="Times New Roman"/>
          <w:sz w:val="24"/>
          <w:szCs w:val="24"/>
        </w:rPr>
        <w:t xml:space="preserve">basic tenets of the </w:t>
      </w:r>
      <w:r w:rsidR="00355CA9">
        <w:rPr>
          <w:rFonts w:ascii="Times New Roman" w:hAnsi="Times New Roman" w:cs="Times New Roman"/>
          <w:sz w:val="24"/>
          <w:szCs w:val="24"/>
        </w:rPr>
        <w:t xml:space="preserve">anti-torture </w:t>
      </w:r>
      <w:r w:rsidR="00992D82">
        <w:rPr>
          <w:rFonts w:ascii="Times New Roman" w:hAnsi="Times New Roman" w:cs="Times New Roman"/>
          <w:sz w:val="24"/>
          <w:szCs w:val="24"/>
        </w:rPr>
        <w:t>norm</w:t>
      </w:r>
      <w:r w:rsidR="00320DDB">
        <w:rPr>
          <w:rFonts w:ascii="Times New Roman" w:hAnsi="Times New Roman" w:cs="Times New Roman"/>
          <w:sz w:val="24"/>
          <w:szCs w:val="24"/>
        </w:rPr>
        <w:t xml:space="preserve"> </w:t>
      </w:r>
      <w:r w:rsidR="00C91AB0">
        <w:rPr>
          <w:rFonts w:ascii="Times New Roman" w:hAnsi="Times New Roman" w:cs="Times New Roman"/>
          <w:sz w:val="24"/>
          <w:szCs w:val="24"/>
        </w:rPr>
        <w:t xml:space="preserve">and </w:t>
      </w:r>
      <w:r w:rsidR="00D17BC5">
        <w:rPr>
          <w:rFonts w:ascii="Times New Roman" w:hAnsi="Times New Roman" w:cs="Times New Roman"/>
          <w:sz w:val="24"/>
          <w:szCs w:val="24"/>
        </w:rPr>
        <w:t>its</w:t>
      </w:r>
      <w:r w:rsidR="00C91AB0">
        <w:rPr>
          <w:rFonts w:ascii="Times New Roman" w:hAnsi="Times New Roman" w:cs="Times New Roman"/>
          <w:sz w:val="24"/>
          <w:szCs w:val="24"/>
        </w:rPr>
        <w:t xml:space="preserve"> </w:t>
      </w:r>
      <w:r w:rsidR="00670989">
        <w:rPr>
          <w:rFonts w:ascii="Times New Roman" w:hAnsi="Times New Roman" w:cs="Times New Roman"/>
          <w:sz w:val="24"/>
          <w:szCs w:val="24"/>
        </w:rPr>
        <w:t>progressive interpretation</w:t>
      </w:r>
      <w:r w:rsidR="004535C6">
        <w:rPr>
          <w:rFonts w:ascii="Times New Roman" w:hAnsi="Times New Roman" w:cs="Times New Roman"/>
          <w:sz w:val="24"/>
          <w:szCs w:val="24"/>
        </w:rPr>
        <w:t xml:space="preserve"> and expanding application</w:t>
      </w:r>
      <w:r w:rsidR="00670989">
        <w:rPr>
          <w:rFonts w:ascii="Times New Roman" w:hAnsi="Times New Roman" w:cs="Times New Roman"/>
          <w:sz w:val="24"/>
          <w:szCs w:val="24"/>
        </w:rPr>
        <w:t xml:space="preserve"> over time </w:t>
      </w:r>
      <w:r w:rsidR="00320DDB">
        <w:rPr>
          <w:rFonts w:ascii="Times New Roman" w:hAnsi="Times New Roman" w:cs="Times New Roman"/>
          <w:sz w:val="24"/>
          <w:szCs w:val="24"/>
        </w:rPr>
        <w:t>(chapter</w:t>
      </w:r>
      <w:r w:rsidR="00B91E98">
        <w:rPr>
          <w:rFonts w:ascii="Times New Roman" w:hAnsi="Times New Roman" w:cs="Times New Roman"/>
          <w:sz w:val="24"/>
          <w:szCs w:val="24"/>
        </w:rPr>
        <w:t>s 1 and</w:t>
      </w:r>
      <w:r w:rsidR="00320DDB">
        <w:rPr>
          <w:rFonts w:ascii="Times New Roman" w:hAnsi="Times New Roman" w:cs="Times New Roman"/>
          <w:sz w:val="24"/>
          <w:szCs w:val="24"/>
        </w:rPr>
        <w:t xml:space="preserve"> 2)</w:t>
      </w:r>
      <w:r w:rsidR="00B91E98">
        <w:rPr>
          <w:rFonts w:ascii="Times New Roman" w:hAnsi="Times New Roman" w:cs="Times New Roman"/>
          <w:sz w:val="24"/>
          <w:szCs w:val="24"/>
        </w:rPr>
        <w:t>,</w:t>
      </w:r>
      <w:r w:rsidR="00320DDB">
        <w:rPr>
          <w:rFonts w:ascii="Times New Roman" w:hAnsi="Times New Roman" w:cs="Times New Roman"/>
          <w:sz w:val="24"/>
          <w:szCs w:val="24"/>
        </w:rPr>
        <w:t xml:space="preserve"> </w:t>
      </w:r>
      <w:r w:rsidR="00B91E98">
        <w:rPr>
          <w:rFonts w:ascii="Times New Roman" w:hAnsi="Times New Roman" w:cs="Times New Roman"/>
          <w:sz w:val="24"/>
          <w:szCs w:val="24"/>
        </w:rPr>
        <w:t xml:space="preserve">the </w:t>
      </w:r>
      <w:r w:rsidR="00EC086D">
        <w:rPr>
          <w:rFonts w:ascii="Times New Roman" w:hAnsi="Times New Roman" w:cs="Times New Roman"/>
          <w:sz w:val="24"/>
          <w:szCs w:val="24"/>
        </w:rPr>
        <w:t xml:space="preserve">rest of the </w:t>
      </w:r>
      <w:r w:rsidR="00B91E98">
        <w:rPr>
          <w:rFonts w:ascii="Times New Roman" w:hAnsi="Times New Roman" w:cs="Times New Roman"/>
          <w:sz w:val="24"/>
          <w:szCs w:val="24"/>
        </w:rPr>
        <w:t xml:space="preserve">book </w:t>
      </w:r>
      <w:r w:rsidR="004820E0">
        <w:rPr>
          <w:rFonts w:ascii="Times New Roman" w:hAnsi="Times New Roman" w:cs="Times New Roman"/>
          <w:sz w:val="24"/>
          <w:szCs w:val="24"/>
        </w:rPr>
        <w:t xml:space="preserve">proposes </w:t>
      </w:r>
      <w:r w:rsidR="00CD2121">
        <w:rPr>
          <w:rFonts w:ascii="Times New Roman" w:hAnsi="Times New Roman" w:cs="Times New Roman"/>
          <w:sz w:val="24"/>
          <w:szCs w:val="24"/>
        </w:rPr>
        <w:t>a principled method of interpreting the norm</w:t>
      </w:r>
      <w:r w:rsidR="00C15943">
        <w:rPr>
          <w:rFonts w:ascii="Times New Roman" w:hAnsi="Times New Roman" w:cs="Times New Roman"/>
          <w:sz w:val="24"/>
          <w:szCs w:val="24"/>
        </w:rPr>
        <w:t xml:space="preserve"> that can </w:t>
      </w:r>
      <w:r w:rsidR="00AA23FC">
        <w:rPr>
          <w:rFonts w:ascii="Times New Roman" w:hAnsi="Times New Roman" w:cs="Times New Roman"/>
          <w:sz w:val="24"/>
          <w:szCs w:val="24"/>
        </w:rPr>
        <w:t>illuminate older people’s care-related mistreatment</w:t>
      </w:r>
      <w:r w:rsidR="00BE687B">
        <w:rPr>
          <w:rFonts w:ascii="Times New Roman" w:hAnsi="Times New Roman" w:cs="Times New Roman"/>
          <w:sz w:val="24"/>
          <w:szCs w:val="24"/>
        </w:rPr>
        <w:t>s</w:t>
      </w:r>
      <w:r w:rsidR="00AA23FC">
        <w:rPr>
          <w:rFonts w:ascii="Times New Roman" w:hAnsi="Times New Roman" w:cs="Times New Roman"/>
          <w:sz w:val="24"/>
          <w:szCs w:val="24"/>
        </w:rPr>
        <w:t xml:space="preserve"> </w:t>
      </w:r>
      <w:r w:rsidR="000544E9">
        <w:rPr>
          <w:rFonts w:ascii="Times New Roman" w:hAnsi="Times New Roman" w:cs="Times New Roman"/>
          <w:sz w:val="24"/>
          <w:szCs w:val="24"/>
        </w:rPr>
        <w:t xml:space="preserve">and </w:t>
      </w:r>
      <w:r w:rsidR="000E0B89">
        <w:rPr>
          <w:rFonts w:ascii="Times New Roman" w:hAnsi="Times New Roman" w:cs="Times New Roman"/>
          <w:sz w:val="24"/>
          <w:szCs w:val="24"/>
        </w:rPr>
        <w:t>corresponding</w:t>
      </w:r>
      <w:r w:rsidR="00AD2C37">
        <w:rPr>
          <w:rFonts w:ascii="Times New Roman" w:hAnsi="Times New Roman" w:cs="Times New Roman"/>
          <w:sz w:val="24"/>
          <w:szCs w:val="24"/>
        </w:rPr>
        <w:t xml:space="preserve"> </w:t>
      </w:r>
      <w:r w:rsidR="000544E9">
        <w:rPr>
          <w:rFonts w:ascii="Times New Roman" w:hAnsi="Times New Roman" w:cs="Times New Roman"/>
          <w:sz w:val="24"/>
          <w:szCs w:val="24"/>
        </w:rPr>
        <w:t>states’</w:t>
      </w:r>
      <w:r w:rsidR="00CD2121">
        <w:rPr>
          <w:rFonts w:ascii="Times New Roman" w:hAnsi="Times New Roman" w:cs="Times New Roman"/>
          <w:sz w:val="24"/>
          <w:szCs w:val="24"/>
        </w:rPr>
        <w:t xml:space="preserve"> </w:t>
      </w:r>
      <w:r w:rsidR="00645CF8">
        <w:rPr>
          <w:rFonts w:ascii="Times New Roman" w:hAnsi="Times New Roman" w:cs="Times New Roman"/>
          <w:sz w:val="24"/>
          <w:szCs w:val="24"/>
        </w:rPr>
        <w:t xml:space="preserve">obligations. </w:t>
      </w:r>
      <w:r w:rsidR="00954C6A">
        <w:rPr>
          <w:rFonts w:ascii="Times New Roman" w:hAnsi="Times New Roman" w:cs="Times New Roman"/>
          <w:sz w:val="24"/>
          <w:szCs w:val="24"/>
        </w:rPr>
        <w:t>Chapter 3</w:t>
      </w:r>
      <w:r w:rsidR="008D22FC">
        <w:rPr>
          <w:rFonts w:ascii="Times New Roman" w:hAnsi="Times New Roman" w:cs="Times New Roman"/>
          <w:sz w:val="24"/>
          <w:szCs w:val="24"/>
        </w:rPr>
        <w:t xml:space="preserve"> explains how</w:t>
      </w:r>
      <w:r w:rsidR="00954C6A">
        <w:rPr>
          <w:rFonts w:ascii="Times New Roman" w:hAnsi="Times New Roman" w:cs="Times New Roman"/>
          <w:sz w:val="24"/>
          <w:szCs w:val="24"/>
        </w:rPr>
        <w:t xml:space="preserve"> </w:t>
      </w:r>
      <w:r w:rsidR="005C2BF3" w:rsidRPr="005C2BF3">
        <w:rPr>
          <w:rFonts w:ascii="Times New Roman" w:hAnsi="Times New Roman" w:cs="Times New Roman"/>
          <w:sz w:val="24"/>
          <w:szCs w:val="24"/>
        </w:rPr>
        <w:t xml:space="preserve">the concept of vulnerability </w:t>
      </w:r>
      <w:r w:rsidR="00E133C1">
        <w:rPr>
          <w:rFonts w:ascii="Times New Roman" w:hAnsi="Times New Roman" w:cs="Times New Roman"/>
          <w:sz w:val="24"/>
          <w:szCs w:val="24"/>
        </w:rPr>
        <w:t>is used</w:t>
      </w:r>
      <w:r w:rsidR="006D71B4">
        <w:rPr>
          <w:rFonts w:ascii="Times New Roman" w:hAnsi="Times New Roman" w:cs="Times New Roman"/>
          <w:sz w:val="24"/>
          <w:szCs w:val="24"/>
        </w:rPr>
        <w:t xml:space="preserve"> in case law</w:t>
      </w:r>
      <w:r w:rsidR="00E133C1">
        <w:rPr>
          <w:rFonts w:ascii="Times New Roman" w:hAnsi="Times New Roman" w:cs="Times New Roman"/>
          <w:sz w:val="24"/>
          <w:szCs w:val="24"/>
        </w:rPr>
        <w:t xml:space="preserve"> </w:t>
      </w:r>
      <w:r w:rsidR="005C2BF3" w:rsidRPr="005C2BF3">
        <w:rPr>
          <w:rFonts w:ascii="Times New Roman" w:hAnsi="Times New Roman" w:cs="Times New Roman"/>
          <w:sz w:val="24"/>
          <w:szCs w:val="24"/>
        </w:rPr>
        <w:t>to specify further positive obligations</w:t>
      </w:r>
      <w:r w:rsidR="00320DDB" w:rsidRPr="00124628">
        <w:rPr>
          <w:rFonts w:ascii="Times New Roman" w:hAnsi="Times New Roman" w:cs="Times New Roman"/>
          <w:sz w:val="24"/>
          <w:szCs w:val="24"/>
        </w:rPr>
        <w:t>.</w:t>
      </w:r>
      <w:r w:rsidR="00E564C8">
        <w:rPr>
          <w:rFonts w:ascii="Times New Roman" w:hAnsi="Times New Roman" w:cs="Times New Roman"/>
          <w:sz w:val="24"/>
          <w:szCs w:val="24"/>
        </w:rPr>
        <w:t xml:space="preserve"> </w:t>
      </w:r>
      <w:r w:rsidR="00295C7F">
        <w:rPr>
          <w:rFonts w:ascii="Times New Roman" w:hAnsi="Times New Roman" w:cs="Times New Roman"/>
          <w:sz w:val="24"/>
          <w:szCs w:val="24"/>
        </w:rPr>
        <w:t xml:space="preserve">Chapter 4 turns to </w:t>
      </w:r>
      <w:r w:rsidR="00E72CAF">
        <w:rPr>
          <w:rFonts w:ascii="Times New Roman" w:hAnsi="Times New Roman" w:cs="Times New Roman"/>
          <w:sz w:val="24"/>
          <w:szCs w:val="24"/>
        </w:rPr>
        <w:t xml:space="preserve">legal </w:t>
      </w:r>
      <w:r w:rsidR="00E9239F">
        <w:rPr>
          <w:rFonts w:ascii="Times New Roman" w:hAnsi="Times New Roman" w:cs="Times New Roman"/>
          <w:sz w:val="24"/>
          <w:szCs w:val="24"/>
        </w:rPr>
        <w:t xml:space="preserve">rules </w:t>
      </w:r>
      <w:r w:rsidR="00E72CAF">
        <w:rPr>
          <w:rFonts w:ascii="Times New Roman" w:hAnsi="Times New Roman" w:cs="Times New Roman"/>
          <w:sz w:val="24"/>
          <w:szCs w:val="24"/>
        </w:rPr>
        <w:t xml:space="preserve">that have the potential to </w:t>
      </w:r>
      <w:r w:rsidR="00B66B1F">
        <w:rPr>
          <w:rFonts w:ascii="Times New Roman" w:hAnsi="Times New Roman" w:cs="Times New Roman"/>
          <w:sz w:val="24"/>
          <w:szCs w:val="24"/>
        </w:rPr>
        <w:t xml:space="preserve">prevent the anti-torture norm’s </w:t>
      </w:r>
      <w:r w:rsidR="00FD6126">
        <w:rPr>
          <w:rFonts w:ascii="Times New Roman" w:hAnsi="Times New Roman" w:cs="Times New Roman"/>
          <w:sz w:val="24"/>
          <w:szCs w:val="24"/>
        </w:rPr>
        <w:t>application to older people’s care-related</w:t>
      </w:r>
      <w:r w:rsidR="005F2431">
        <w:rPr>
          <w:rFonts w:ascii="Times New Roman" w:hAnsi="Times New Roman" w:cs="Times New Roman"/>
          <w:sz w:val="24"/>
          <w:szCs w:val="24"/>
        </w:rPr>
        <w:t xml:space="preserve"> </w:t>
      </w:r>
      <w:r w:rsidR="002244EF">
        <w:rPr>
          <w:rFonts w:ascii="Times New Roman" w:hAnsi="Times New Roman" w:cs="Times New Roman"/>
          <w:sz w:val="24"/>
          <w:szCs w:val="24"/>
        </w:rPr>
        <w:t xml:space="preserve">mistreatment. </w:t>
      </w:r>
      <w:r w:rsidR="0076456F">
        <w:rPr>
          <w:rFonts w:ascii="Times New Roman" w:hAnsi="Times New Roman" w:cs="Times New Roman"/>
          <w:sz w:val="24"/>
          <w:szCs w:val="24"/>
        </w:rPr>
        <w:t xml:space="preserve">Chapter 5 </w:t>
      </w:r>
      <w:r w:rsidR="000511C6">
        <w:rPr>
          <w:rFonts w:ascii="Times New Roman" w:hAnsi="Times New Roman" w:cs="Times New Roman"/>
          <w:sz w:val="24"/>
          <w:szCs w:val="24"/>
        </w:rPr>
        <w:t>explores the role of dig</w:t>
      </w:r>
      <w:r w:rsidR="00CD1B5C">
        <w:rPr>
          <w:rFonts w:ascii="Times New Roman" w:hAnsi="Times New Roman" w:cs="Times New Roman"/>
          <w:sz w:val="24"/>
          <w:szCs w:val="24"/>
        </w:rPr>
        <w:t>nity in</w:t>
      </w:r>
      <w:r w:rsidR="003023B4" w:rsidRPr="009F661E">
        <w:rPr>
          <w:rFonts w:ascii="Times New Roman" w:hAnsi="Times New Roman" w:cs="Times New Roman"/>
          <w:sz w:val="24"/>
          <w:szCs w:val="24"/>
        </w:rPr>
        <w:t xml:space="preserve"> interpret</w:t>
      </w:r>
      <w:r w:rsidR="00CD1B5C">
        <w:rPr>
          <w:rFonts w:ascii="Times New Roman" w:hAnsi="Times New Roman" w:cs="Times New Roman"/>
          <w:sz w:val="24"/>
          <w:szCs w:val="24"/>
        </w:rPr>
        <w:t>ing</w:t>
      </w:r>
      <w:r w:rsidR="003023B4" w:rsidRPr="009F661E">
        <w:rPr>
          <w:rFonts w:ascii="Times New Roman" w:hAnsi="Times New Roman" w:cs="Times New Roman"/>
          <w:sz w:val="24"/>
          <w:szCs w:val="24"/>
        </w:rPr>
        <w:t xml:space="preserve"> and apply</w:t>
      </w:r>
      <w:r w:rsidR="00CD1B5C">
        <w:rPr>
          <w:rFonts w:ascii="Times New Roman" w:hAnsi="Times New Roman" w:cs="Times New Roman"/>
          <w:sz w:val="24"/>
          <w:szCs w:val="24"/>
        </w:rPr>
        <w:t>ing</w:t>
      </w:r>
      <w:r w:rsidR="003023B4" w:rsidRPr="009F661E">
        <w:rPr>
          <w:rFonts w:ascii="Times New Roman" w:hAnsi="Times New Roman" w:cs="Times New Roman"/>
          <w:sz w:val="24"/>
          <w:szCs w:val="24"/>
        </w:rPr>
        <w:t xml:space="preserve"> the anti-torture norm more effectively</w:t>
      </w:r>
      <w:r w:rsidR="009F661E" w:rsidRPr="009F661E">
        <w:rPr>
          <w:rFonts w:ascii="Times New Roman" w:hAnsi="Times New Roman" w:cs="Times New Roman"/>
          <w:sz w:val="24"/>
          <w:szCs w:val="24"/>
        </w:rPr>
        <w:t>.</w:t>
      </w:r>
      <w:r w:rsidR="00FD6126">
        <w:rPr>
          <w:rFonts w:ascii="Times New Roman" w:hAnsi="Times New Roman" w:cs="Times New Roman"/>
          <w:sz w:val="24"/>
          <w:szCs w:val="24"/>
        </w:rPr>
        <w:t xml:space="preserve"> </w:t>
      </w:r>
      <w:r w:rsidR="00334F98">
        <w:rPr>
          <w:rFonts w:ascii="Times New Roman" w:hAnsi="Times New Roman" w:cs="Times New Roman"/>
          <w:sz w:val="24"/>
          <w:szCs w:val="24"/>
        </w:rPr>
        <w:t>Ch</w:t>
      </w:r>
      <w:r w:rsidR="00EC7D87">
        <w:rPr>
          <w:rFonts w:ascii="Times New Roman" w:hAnsi="Times New Roman" w:cs="Times New Roman"/>
          <w:sz w:val="24"/>
          <w:szCs w:val="24"/>
        </w:rPr>
        <w:t xml:space="preserve">apters </w:t>
      </w:r>
      <w:r w:rsidR="004B6B73">
        <w:rPr>
          <w:rFonts w:ascii="Times New Roman" w:hAnsi="Times New Roman" w:cs="Times New Roman"/>
          <w:sz w:val="24"/>
          <w:szCs w:val="24"/>
        </w:rPr>
        <w:t>6 and 7</w:t>
      </w:r>
      <w:r w:rsidR="00334F98">
        <w:rPr>
          <w:rFonts w:ascii="Times New Roman" w:hAnsi="Times New Roman" w:cs="Times New Roman"/>
          <w:sz w:val="24"/>
          <w:szCs w:val="24"/>
        </w:rPr>
        <w:t xml:space="preserve"> </w:t>
      </w:r>
      <w:r w:rsidR="004B6B73">
        <w:rPr>
          <w:rFonts w:ascii="Times New Roman" w:hAnsi="Times New Roman" w:cs="Times New Roman"/>
          <w:sz w:val="24"/>
          <w:szCs w:val="24"/>
        </w:rPr>
        <w:t xml:space="preserve">provide a thoughtful account of </w:t>
      </w:r>
      <w:r w:rsidR="00157690">
        <w:rPr>
          <w:rFonts w:ascii="Times New Roman" w:hAnsi="Times New Roman" w:cs="Times New Roman"/>
          <w:sz w:val="24"/>
          <w:szCs w:val="24"/>
        </w:rPr>
        <w:t xml:space="preserve">the problems of </w:t>
      </w:r>
      <w:r w:rsidR="002E27A0">
        <w:rPr>
          <w:rFonts w:ascii="Times New Roman" w:hAnsi="Times New Roman" w:cs="Times New Roman"/>
          <w:sz w:val="24"/>
          <w:szCs w:val="24"/>
        </w:rPr>
        <w:t xml:space="preserve">inadequate continence care </w:t>
      </w:r>
      <w:r w:rsidR="00ED3BEF">
        <w:rPr>
          <w:rFonts w:ascii="Times New Roman" w:hAnsi="Times New Roman" w:cs="Times New Roman"/>
          <w:sz w:val="24"/>
          <w:szCs w:val="24"/>
        </w:rPr>
        <w:t xml:space="preserve">and </w:t>
      </w:r>
      <w:r w:rsidR="000F3BE5">
        <w:rPr>
          <w:rFonts w:ascii="Times New Roman" w:hAnsi="Times New Roman" w:cs="Times New Roman"/>
          <w:sz w:val="24"/>
          <w:szCs w:val="24"/>
        </w:rPr>
        <w:t xml:space="preserve">deprivation of liberty for care. </w:t>
      </w:r>
      <w:r w:rsidR="006C693F" w:rsidRPr="006C693F">
        <w:rPr>
          <w:rFonts w:ascii="Times New Roman" w:hAnsi="Times New Roman" w:cs="Times New Roman"/>
          <w:sz w:val="24"/>
          <w:szCs w:val="24"/>
        </w:rPr>
        <w:t xml:space="preserve">The concluding chapter brieﬂy </w:t>
      </w:r>
      <w:r w:rsidR="00482E5A">
        <w:rPr>
          <w:rFonts w:ascii="Times New Roman" w:hAnsi="Times New Roman" w:cs="Times New Roman"/>
          <w:sz w:val="24"/>
          <w:szCs w:val="24"/>
        </w:rPr>
        <w:t>reflects</w:t>
      </w:r>
      <w:r w:rsidR="006C693F">
        <w:rPr>
          <w:rFonts w:ascii="Times New Roman" w:hAnsi="Times New Roman" w:cs="Times New Roman"/>
          <w:sz w:val="24"/>
          <w:szCs w:val="24"/>
        </w:rPr>
        <w:t xml:space="preserve"> </w:t>
      </w:r>
      <w:r w:rsidR="00C2333D">
        <w:rPr>
          <w:rFonts w:ascii="Times New Roman" w:hAnsi="Times New Roman" w:cs="Times New Roman"/>
          <w:sz w:val="24"/>
          <w:szCs w:val="24"/>
        </w:rPr>
        <w:t xml:space="preserve">on </w:t>
      </w:r>
      <w:r w:rsidR="007373A8">
        <w:rPr>
          <w:rFonts w:ascii="Times New Roman" w:hAnsi="Times New Roman" w:cs="Times New Roman"/>
          <w:sz w:val="24"/>
          <w:szCs w:val="24"/>
        </w:rPr>
        <w:t xml:space="preserve">how a new </w:t>
      </w:r>
      <w:r w:rsidR="009B0791">
        <w:rPr>
          <w:rFonts w:ascii="Times New Roman" w:hAnsi="Times New Roman" w:cs="Times New Roman"/>
          <w:sz w:val="24"/>
          <w:szCs w:val="24"/>
        </w:rPr>
        <w:t xml:space="preserve">UN Convention on the rights of older persons </w:t>
      </w:r>
      <w:r w:rsidR="00541A00">
        <w:rPr>
          <w:rFonts w:ascii="Times New Roman" w:hAnsi="Times New Roman" w:cs="Times New Roman"/>
          <w:sz w:val="24"/>
          <w:szCs w:val="24"/>
        </w:rPr>
        <w:t xml:space="preserve">(if it is </w:t>
      </w:r>
      <w:r w:rsidR="008140B9">
        <w:rPr>
          <w:rFonts w:ascii="Times New Roman" w:hAnsi="Times New Roman" w:cs="Times New Roman"/>
          <w:sz w:val="24"/>
          <w:szCs w:val="24"/>
        </w:rPr>
        <w:t xml:space="preserve">adopted) </w:t>
      </w:r>
      <w:r w:rsidR="000C6E08">
        <w:rPr>
          <w:rFonts w:ascii="Times New Roman" w:hAnsi="Times New Roman" w:cs="Times New Roman"/>
          <w:sz w:val="24"/>
          <w:szCs w:val="24"/>
        </w:rPr>
        <w:t>will</w:t>
      </w:r>
      <w:r w:rsidR="00E555E0">
        <w:rPr>
          <w:rFonts w:ascii="Times New Roman" w:hAnsi="Times New Roman" w:cs="Times New Roman"/>
          <w:sz w:val="24"/>
          <w:szCs w:val="24"/>
        </w:rPr>
        <w:t xml:space="preserve"> interact with existing </w:t>
      </w:r>
      <w:r w:rsidR="000E090A">
        <w:rPr>
          <w:rFonts w:ascii="Times New Roman" w:hAnsi="Times New Roman" w:cs="Times New Roman"/>
          <w:sz w:val="24"/>
          <w:szCs w:val="24"/>
        </w:rPr>
        <w:t>human rights law</w:t>
      </w:r>
      <w:r w:rsidR="00756702">
        <w:rPr>
          <w:rFonts w:ascii="Times New Roman" w:hAnsi="Times New Roman" w:cs="Times New Roman"/>
          <w:sz w:val="24"/>
          <w:szCs w:val="24"/>
        </w:rPr>
        <w:t xml:space="preserve">. </w:t>
      </w:r>
    </w:p>
    <w:p w14:paraId="1D7ED0BD" w14:textId="6CBA512D" w:rsidR="00C055E7" w:rsidRPr="00C055E7" w:rsidRDefault="008424B4" w:rsidP="00C055E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2874D9">
        <w:rPr>
          <w:rFonts w:ascii="Times New Roman" w:hAnsi="Times New Roman" w:cs="Times New Roman"/>
          <w:sz w:val="24"/>
          <w:szCs w:val="24"/>
        </w:rPr>
        <w:t xml:space="preserve">book’s </w:t>
      </w:r>
      <w:r>
        <w:rPr>
          <w:rFonts w:ascii="Times New Roman" w:hAnsi="Times New Roman" w:cs="Times New Roman"/>
          <w:sz w:val="24"/>
          <w:szCs w:val="24"/>
        </w:rPr>
        <w:t>central argument is that t</w:t>
      </w:r>
      <w:r w:rsidR="00C055E7" w:rsidRPr="00C055E7">
        <w:rPr>
          <w:rFonts w:ascii="Times New Roman" w:hAnsi="Times New Roman" w:cs="Times New Roman"/>
          <w:sz w:val="24"/>
          <w:szCs w:val="24"/>
        </w:rPr>
        <w:t xml:space="preserve">he </w:t>
      </w:r>
      <w:r w:rsidR="00603B47">
        <w:rPr>
          <w:rFonts w:ascii="Times New Roman" w:hAnsi="Times New Roman" w:cs="Times New Roman"/>
          <w:sz w:val="24"/>
          <w:szCs w:val="24"/>
        </w:rPr>
        <w:t>anti-torture norm</w:t>
      </w:r>
      <w:r w:rsidR="00C055E7" w:rsidRPr="00C055E7">
        <w:rPr>
          <w:rFonts w:ascii="Times New Roman" w:hAnsi="Times New Roman" w:cs="Times New Roman"/>
          <w:sz w:val="24"/>
          <w:szCs w:val="24"/>
        </w:rPr>
        <w:t xml:space="preserve"> in international human rights law (and, by extension, in domestic legal systems) should be harnessed to protect older people from care-related mistreatment </w:t>
      </w:r>
      <w:r w:rsidR="00C055E7" w:rsidRPr="00C055E7">
        <w:rPr>
          <w:rFonts w:ascii="Times New Roman" w:hAnsi="Times New Roman" w:cs="Times New Roman"/>
          <w:sz w:val="24"/>
          <w:szCs w:val="24"/>
        </w:rPr>
        <w:fldChar w:fldCharType="begin"/>
      </w:r>
      <w:r w:rsidR="00387C4B">
        <w:rPr>
          <w:rFonts w:ascii="Times New Roman" w:hAnsi="Times New Roman" w:cs="Times New Roman"/>
          <w:sz w:val="24"/>
          <w:szCs w:val="24"/>
        </w:rPr>
        <w:instrText xml:space="preserve"> ADDIN ZOTERO_ITEM CSL_CITATION {"citationID":"7BtTKbqU","properties":{"formattedCitation":"(O\\uc0\\u8217{}Rourke, 2024, pp. 8\\uc0\\u8211{}9)","plainCitation":"(O’Rourke, 2024, pp. 8–9)","dontUpdate":true,"noteIndex":0},"citationItems":[{"id":9800,"uris":["http://zotero.org/users/3321160/items/VCC24M9A"],"itemData":{"id":9800,"type":"book","abstract":"Set against the rapid aging of the world's population, Human Rights and the Care of Older People explores the potential for the rule against torture and ill-treatment in international human rights law to better protect older people from care-related mistreatment. The book's analysis is broadly relevant but is prompted by the widespread reports of older people's suffering due to lack of access to care and coercion in respect of care needs. This includes the deprivation of liberty for 'care'.While recognizing that a new United Nations Convention on the rights of older people is on the horizon, the book argues that there is a pressing need for older people and all human rights actors to use and progressively interpret the established right to freedom from torture and ill-treatment. As an interpretive lens, the book offers a conception of a dignity violation that may amount to prohibited ill-treatment and thus trigger states' positive obligations to protect, including through systemic prevention measures. This book is intended as a tool for advocacy and a call for critical awareness, highlighting the anti-torture norm's potential for more effective application and challenging current legal barriers to such effectiveness. Meant for readers worldwide, the book addresses the rule against torture and ill-treatment from international law, regional European, Inter-American, and African perspectives.This is an open access title available under the terms of a CC BY-NC-ND 4.0 International licence. It is free to read on Oxford Academic and offered as a free PDF download from OUP and selected open access locations.\n             \n             \n              \n            ,  \n             Set against the rapid aging of the world's population, Human Rights and the Care of Older People explores the potential for the rule against torture and ill-treatment in international human rights law to better protect older people from care-related mistreatment. The book's analysis is broadly relevant but is prompted by the widespread reports of older people's suffering due to lack of access to care and coercion in respect of care needs. This includes the deprivation of liberty for 'care'.While recognizing that a new United Nations Convention on the rights of older people is on the horizon, the book argues that there is a pressing need for older people and all human rights actors to use and progressively interpret the established right to freedom from torture and ill-treatment. As an interpretive lens, the book offers a conception of a dignity violation that may amount to prohibited ill-treatment and thus trigger states' positive obligations to protect, including through systemic prevention measures. This book is intended as a tool for advocacy and a call for critical awareness, highlighting the anti-torture norm's potential for more effective application and challenging current legal barriers to such effectiveness. Meant for readers worldwide, the book addresses the rule against torture and ill-treatment from international law, regional European, Inter-American, and African perspectives.This is an open access title available under the terms of a CC BY-NC-ND 4.0 International licence. It is free to read on Oxford Academic and offered as a free PDF download from OUP and selected open access locations.","event-place":"Oxford, New York","ISBN":"978-0-19-285971-6","number-of-pages":"288","publisher":"Oxford University Press","publisher-place":"Oxford, New York","source":"Oxford University Press","title":"Human Rights and the Care of Older People: Dignity, Vulnerability, and the Anti-Torture Norm","title-short":"Human Rights and the Care of Older People","author":[{"family":"O’Rourke","given":"Maeve"}],"issued":{"date-parts":[["2024",5,20]]}},"locator":"8-9","label":"page"}],"schema":"https://github.com/citation-style-language/schema/raw/master/csl-citation.json"} </w:instrText>
      </w:r>
      <w:r w:rsidR="00C055E7" w:rsidRPr="00C055E7">
        <w:rPr>
          <w:rFonts w:ascii="Times New Roman" w:hAnsi="Times New Roman" w:cs="Times New Roman"/>
          <w:sz w:val="24"/>
          <w:szCs w:val="24"/>
        </w:rPr>
        <w:fldChar w:fldCharType="separate"/>
      </w:r>
      <w:r w:rsidR="00C055E7" w:rsidRPr="00C055E7">
        <w:rPr>
          <w:rFonts w:ascii="Times New Roman" w:hAnsi="Times New Roman" w:cs="Times New Roman"/>
          <w:sz w:val="24"/>
          <w:szCs w:val="24"/>
        </w:rPr>
        <w:t>(pp. 8–9)</w:t>
      </w:r>
      <w:r w:rsidR="00C055E7" w:rsidRPr="00C055E7">
        <w:rPr>
          <w:rFonts w:ascii="Times New Roman" w:hAnsi="Times New Roman" w:cs="Times New Roman"/>
          <w:sz w:val="24"/>
          <w:szCs w:val="24"/>
        </w:rPr>
        <w:fldChar w:fldCharType="end"/>
      </w:r>
      <w:r w:rsidR="00C055E7" w:rsidRPr="00C055E7">
        <w:rPr>
          <w:rFonts w:ascii="Times New Roman" w:hAnsi="Times New Roman" w:cs="Times New Roman"/>
          <w:sz w:val="24"/>
          <w:szCs w:val="24"/>
        </w:rPr>
        <w:t xml:space="preserve">. O’Rourke contends that human rights norm appliers should recognize a positive obligation on states to ensure access to consensual care as an element of the anti-torture norm’s overarching preventive obligation. The sub-obligations inherent in this positive duty should be recognized to include an obligation to ensure access to decision-making support in the care context, an obligation to ensure access to self-advocacy support in the care context, and an obligation to provide consensual care services where people have insufficient resources to obtain the assistance necessary to meet their basic needs </w:t>
      </w:r>
      <w:r w:rsidR="00C055E7" w:rsidRPr="00C055E7">
        <w:rPr>
          <w:rFonts w:ascii="Times New Roman" w:hAnsi="Times New Roman" w:cs="Times New Roman"/>
          <w:sz w:val="24"/>
          <w:szCs w:val="24"/>
        </w:rPr>
        <w:fldChar w:fldCharType="begin"/>
      </w:r>
      <w:r w:rsidR="00387C4B">
        <w:rPr>
          <w:rFonts w:ascii="Times New Roman" w:hAnsi="Times New Roman" w:cs="Times New Roman"/>
          <w:sz w:val="24"/>
          <w:szCs w:val="24"/>
        </w:rPr>
        <w:instrText xml:space="preserve"> ADDIN ZOTERO_ITEM CSL_CITATION {"citationID":"w6sx2KaR","properties":{"formattedCitation":"(O\\uc0\\u8217{}Rourke, 2024, p. 9)","plainCitation":"(O’Rourke, 2024, p. 9)","dontUpdate":true,"noteIndex":0},"citationItems":[{"id":9800,"uris":["http://zotero.org/users/3321160/items/VCC24M9A"],"itemData":{"id":9800,"type":"book","abstract":"Set against the rapid aging of the world's population, Human Rights and the Care of Older People explores the potential for the rule against torture and ill-treatment in international human rights law to better protect older people from care-related mistreatment. The book's analysis is broadly relevant but is prompted by the widespread reports of older people's suffering due to lack of access to care and coercion in respect of care needs. This includes the deprivation of liberty for 'care'.While recognizing that a new United Nations Convention on the rights of older people is on the horizon, the book argues that there is a pressing need for older people and all human rights actors to use and progressively interpret the established right to freedom from torture and ill-treatment. As an interpretive lens, the book offers a conception of a dignity violation that may amount to prohibited ill-treatment and thus trigger states' positive obligations to protect, including through systemic prevention measures. This book is intended as a tool for advocacy and a call for critical awareness, highlighting the anti-torture norm's potential for more effective application and challenging current legal barriers to such effectiveness. Meant for readers worldwide, the book addresses the rule against torture and ill-treatment from international law, regional European, Inter-American, and African perspectives.This is an open access title available under the terms of a CC BY-NC-ND 4.0 International licence. It is free to read on Oxford Academic and offered as a free PDF download from OUP and selected open access locations.\n             \n             \n              \n            ,  \n             Set against the rapid aging of the world's population, Human Rights and the Care of Older People explores the potential for the rule against torture and ill-treatment in international human rights law to better protect older people from care-related mistreatment. The book's analysis is broadly relevant but is prompted by the widespread reports of older people's suffering due to lack of access to care and coercion in respect of care needs. This includes the deprivation of liberty for 'care'.While recognizing that a new United Nations Convention on the rights of older people is on the horizon, the book argues that there is a pressing need for older people and all human rights actors to use and progressively interpret the established right to freedom from torture and ill-treatment. As an interpretive lens, the book offers a conception of a dignity violation that may amount to prohibited ill-treatment and thus trigger states' positive obligations to protect, including through systemic prevention measures. This book is intended as a tool for advocacy and a call for critical awareness, highlighting the anti-torture norm's potential for more effective application and challenging current legal barriers to such effectiveness. Meant for readers worldwide, the book addresses the rule against torture and ill-treatment from international law, regional European, Inter-American, and African perspectives.This is an open access title available under the terms of a CC BY-NC-ND 4.0 International licence. It is free to read on Oxford Academic and offered as a free PDF download from OUP and selected open access locations.","event-place":"Oxford, New York","ISBN":"978-0-19-285971-6","number-of-pages":"288","publisher":"Oxford University Press","publisher-place":"Oxford, New York","source":"Oxford University Press","title":"Human Rights and the Care of Older People: Dignity, Vulnerability, and the Anti-Torture Norm","title-short":"Human Rights and the Care of Older People","author":[{"family":"O’Rourke","given":"Maeve"}],"issued":{"date-parts":[["2024",5,20]]}},"locator":"9","label":"page"}],"schema":"https://github.com/citation-style-language/schema/raw/master/csl-citation.json"} </w:instrText>
      </w:r>
      <w:r w:rsidR="00C055E7" w:rsidRPr="00C055E7">
        <w:rPr>
          <w:rFonts w:ascii="Times New Roman" w:hAnsi="Times New Roman" w:cs="Times New Roman"/>
          <w:sz w:val="24"/>
          <w:szCs w:val="24"/>
        </w:rPr>
        <w:fldChar w:fldCharType="separate"/>
      </w:r>
      <w:r w:rsidR="00C055E7" w:rsidRPr="00C055E7">
        <w:rPr>
          <w:rFonts w:ascii="Times New Roman" w:hAnsi="Times New Roman" w:cs="Times New Roman"/>
          <w:sz w:val="24"/>
          <w:szCs w:val="24"/>
        </w:rPr>
        <w:t xml:space="preserve">(p. </w:t>
      </w:r>
      <w:r w:rsidR="00AA735A">
        <w:rPr>
          <w:rFonts w:ascii="Times New Roman" w:hAnsi="Times New Roman" w:cs="Times New Roman"/>
          <w:sz w:val="24"/>
          <w:szCs w:val="24"/>
        </w:rPr>
        <w:t>7</w:t>
      </w:r>
      <w:r w:rsidR="00C055E7" w:rsidRPr="00C055E7">
        <w:rPr>
          <w:rFonts w:ascii="Times New Roman" w:hAnsi="Times New Roman" w:cs="Times New Roman"/>
          <w:sz w:val="24"/>
          <w:szCs w:val="24"/>
        </w:rPr>
        <w:t>)</w:t>
      </w:r>
      <w:r w:rsidR="00C055E7" w:rsidRPr="00C055E7">
        <w:rPr>
          <w:rFonts w:ascii="Times New Roman" w:hAnsi="Times New Roman" w:cs="Times New Roman"/>
          <w:sz w:val="24"/>
          <w:szCs w:val="24"/>
        </w:rPr>
        <w:fldChar w:fldCharType="end"/>
      </w:r>
      <w:r w:rsidR="00C055E7" w:rsidRPr="00C055E7">
        <w:rPr>
          <w:rFonts w:ascii="Times New Roman" w:hAnsi="Times New Roman" w:cs="Times New Roman"/>
          <w:sz w:val="24"/>
          <w:szCs w:val="24"/>
        </w:rPr>
        <w:t xml:space="preserve">. </w:t>
      </w:r>
    </w:p>
    <w:p w14:paraId="251A95B0" w14:textId="067026CA" w:rsidR="00C055E7" w:rsidRPr="00C055E7" w:rsidRDefault="00D773F8" w:rsidP="00C055E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idea of </w:t>
      </w:r>
      <w:r w:rsidR="00C62BCF">
        <w:rPr>
          <w:rFonts w:ascii="Times New Roman" w:hAnsi="Times New Roman" w:cs="Times New Roman"/>
          <w:sz w:val="24"/>
          <w:szCs w:val="24"/>
        </w:rPr>
        <w:t>‘</w:t>
      </w:r>
      <w:r>
        <w:rPr>
          <w:rFonts w:ascii="Times New Roman" w:hAnsi="Times New Roman" w:cs="Times New Roman"/>
          <w:sz w:val="24"/>
          <w:szCs w:val="24"/>
        </w:rPr>
        <w:t>dignity violation</w:t>
      </w:r>
      <w:r w:rsidR="00C62BCF">
        <w:rPr>
          <w:rFonts w:ascii="Times New Roman" w:hAnsi="Times New Roman" w:cs="Times New Roman"/>
          <w:sz w:val="24"/>
          <w:szCs w:val="24"/>
        </w:rPr>
        <w:t xml:space="preserve">’ </w:t>
      </w:r>
      <w:r w:rsidR="007E36B7">
        <w:rPr>
          <w:rFonts w:ascii="Times New Roman" w:hAnsi="Times New Roman" w:cs="Times New Roman"/>
          <w:sz w:val="24"/>
          <w:szCs w:val="24"/>
        </w:rPr>
        <w:t xml:space="preserve">is integral to the book’s </w:t>
      </w:r>
      <w:r w:rsidR="00026C1F">
        <w:rPr>
          <w:rFonts w:ascii="Times New Roman" w:hAnsi="Times New Roman" w:cs="Times New Roman"/>
          <w:sz w:val="24"/>
          <w:szCs w:val="24"/>
        </w:rPr>
        <w:t>argument</w:t>
      </w:r>
      <w:r w:rsidR="00FB774C">
        <w:rPr>
          <w:rFonts w:ascii="Times New Roman" w:hAnsi="Times New Roman" w:cs="Times New Roman"/>
          <w:sz w:val="24"/>
          <w:szCs w:val="24"/>
        </w:rPr>
        <w:t xml:space="preserve"> </w:t>
      </w:r>
      <w:r w:rsidR="006F668C">
        <w:rPr>
          <w:rFonts w:ascii="Times New Roman" w:hAnsi="Times New Roman" w:cs="Times New Roman"/>
          <w:sz w:val="24"/>
          <w:szCs w:val="24"/>
        </w:rPr>
        <w:t>as</w:t>
      </w:r>
      <w:r w:rsidR="00FB774C">
        <w:rPr>
          <w:rFonts w:ascii="Times New Roman" w:hAnsi="Times New Roman" w:cs="Times New Roman"/>
          <w:sz w:val="24"/>
          <w:szCs w:val="24"/>
        </w:rPr>
        <w:t xml:space="preserve"> </w:t>
      </w:r>
      <w:r w:rsidR="00C96B0D">
        <w:rPr>
          <w:rFonts w:ascii="Times New Roman" w:hAnsi="Times New Roman" w:cs="Times New Roman"/>
          <w:sz w:val="24"/>
          <w:szCs w:val="24"/>
        </w:rPr>
        <w:t>one</w:t>
      </w:r>
      <w:r w:rsidR="004A493B">
        <w:rPr>
          <w:rFonts w:ascii="Times New Roman" w:hAnsi="Times New Roman" w:cs="Times New Roman"/>
          <w:sz w:val="24"/>
          <w:szCs w:val="24"/>
        </w:rPr>
        <w:t xml:space="preserve"> must </w:t>
      </w:r>
      <w:r w:rsidR="00450617">
        <w:rPr>
          <w:rFonts w:ascii="Times New Roman" w:hAnsi="Times New Roman" w:cs="Times New Roman"/>
          <w:sz w:val="24"/>
          <w:szCs w:val="24"/>
        </w:rPr>
        <w:t xml:space="preserve">decide whether torture or ill </w:t>
      </w:r>
      <w:r w:rsidR="00C846D8">
        <w:rPr>
          <w:rFonts w:ascii="Times New Roman" w:hAnsi="Times New Roman" w:cs="Times New Roman"/>
          <w:sz w:val="24"/>
          <w:szCs w:val="24"/>
        </w:rPr>
        <w:t xml:space="preserve">treatment </w:t>
      </w:r>
      <w:r w:rsidR="00450617">
        <w:rPr>
          <w:rFonts w:ascii="Times New Roman" w:hAnsi="Times New Roman" w:cs="Times New Roman"/>
          <w:sz w:val="24"/>
          <w:szCs w:val="24"/>
        </w:rPr>
        <w:t xml:space="preserve">has occurred or </w:t>
      </w:r>
      <w:r w:rsidR="00BB5CEB">
        <w:rPr>
          <w:rFonts w:ascii="Times New Roman" w:hAnsi="Times New Roman" w:cs="Times New Roman"/>
          <w:sz w:val="24"/>
          <w:szCs w:val="24"/>
        </w:rPr>
        <w:t xml:space="preserve">is </w:t>
      </w:r>
      <w:r w:rsidR="00450617">
        <w:rPr>
          <w:rFonts w:ascii="Times New Roman" w:hAnsi="Times New Roman" w:cs="Times New Roman"/>
          <w:sz w:val="24"/>
          <w:szCs w:val="24"/>
        </w:rPr>
        <w:t>occurring</w:t>
      </w:r>
      <w:r w:rsidR="00026C1F">
        <w:rPr>
          <w:rFonts w:ascii="Times New Roman" w:hAnsi="Times New Roman" w:cs="Times New Roman"/>
          <w:sz w:val="24"/>
          <w:szCs w:val="24"/>
        </w:rPr>
        <w:t>.</w:t>
      </w:r>
      <w:r>
        <w:rPr>
          <w:rFonts w:ascii="Times New Roman" w:hAnsi="Times New Roman" w:cs="Times New Roman"/>
          <w:sz w:val="24"/>
          <w:szCs w:val="24"/>
        </w:rPr>
        <w:t xml:space="preserve"> </w:t>
      </w:r>
      <w:r w:rsidR="002C3557" w:rsidRPr="00C055E7">
        <w:rPr>
          <w:rFonts w:ascii="Times New Roman" w:hAnsi="Times New Roman" w:cs="Times New Roman"/>
          <w:sz w:val="24"/>
          <w:szCs w:val="24"/>
        </w:rPr>
        <w:t xml:space="preserve">O’Rourke </w:t>
      </w:r>
      <w:r w:rsidR="007F3B56">
        <w:rPr>
          <w:rFonts w:ascii="Times New Roman" w:hAnsi="Times New Roman" w:cs="Times New Roman"/>
          <w:sz w:val="24"/>
          <w:szCs w:val="24"/>
        </w:rPr>
        <w:t>conceptualizes</w:t>
      </w:r>
      <w:r w:rsidR="00056735" w:rsidRPr="00056735">
        <w:rPr>
          <w:rFonts w:ascii="Times New Roman" w:hAnsi="Times New Roman" w:cs="Times New Roman"/>
          <w:sz w:val="24"/>
          <w:szCs w:val="24"/>
        </w:rPr>
        <w:t> </w:t>
      </w:r>
      <w:r w:rsidR="00395C0C">
        <w:rPr>
          <w:rFonts w:ascii="Times New Roman" w:hAnsi="Times New Roman" w:cs="Times New Roman"/>
          <w:sz w:val="24"/>
          <w:szCs w:val="24"/>
        </w:rPr>
        <w:t>‘</w:t>
      </w:r>
      <w:r w:rsidR="00056735" w:rsidRPr="00395C0C">
        <w:rPr>
          <w:rFonts w:ascii="Times New Roman" w:hAnsi="Times New Roman" w:cs="Times New Roman"/>
          <w:sz w:val="24"/>
          <w:szCs w:val="24"/>
        </w:rPr>
        <w:t>dignity violation</w:t>
      </w:r>
      <w:r w:rsidR="00FB3A18">
        <w:rPr>
          <w:rFonts w:ascii="Times New Roman" w:hAnsi="Times New Roman" w:cs="Times New Roman"/>
          <w:sz w:val="24"/>
          <w:szCs w:val="24"/>
        </w:rPr>
        <w:t>’</w:t>
      </w:r>
      <w:r w:rsidR="00056735" w:rsidRPr="00056735">
        <w:rPr>
          <w:rFonts w:ascii="Times New Roman" w:hAnsi="Times New Roman" w:cs="Times New Roman"/>
          <w:sz w:val="24"/>
          <w:szCs w:val="24"/>
        </w:rPr>
        <w:t> </w:t>
      </w:r>
      <w:r w:rsidR="00FB3A18">
        <w:rPr>
          <w:rFonts w:ascii="Times New Roman" w:hAnsi="Times New Roman" w:cs="Times New Roman"/>
          <w:sz w:val="24"/>
          <w:szCs w:val="24"/>
        </w:rPr>
        <w:t xml:space="preserve">as </w:t>
      </w:r>
      <w:r w:rsidR="00B54F83">
        <w:rPr>
          <w:rFonts w:ascii="Times New Roman" w:hAnsi="Times New Roman" w:cs="Times New Roman"/>
          <w:sz w:val="24"/>
          <w:szCs w:val="24"/>
        </w:rPr>
        <w:t>‘</w:t>
      </w:r>
      <w:r w:rsidR="00B54F83" w:rsidRPr="00B54F83">
        <w:rPr>
          <w:rFonts w:ascii="Times New Roman" w:hAnsi="Times New Roman" w:cs="Times New Roman"/>
          <w:sz w:val="24"/>
          <w:szCs w:val="24"/>
        </w:rPr>
        <w:t>an interference with a core aspect of the personality, which the person is situationally powerless to avoid</w:t>
      </w:r>
      <w:r w:rsidR="00F726B6">
        <w:rPr>
          <w:rFonts w:ascii="Times New Roman" w:hAnsi="Times New Roman" w:cs="Times New Roman"/>
          <w:sz w:val="24"/>
          <w:szCs w:val="24"/>
        </w:rPr>
        <w:t>’</w:t>
      </w:r>
      <w:r w:rsidR="00992909">
        <w:rPr>
          <w:rFonts w:ascii="Times New Roman" w:hAnsi="Times New Roman" w:cs="Times New Roman"/>
          <w:sz w:val="24"/>
          <w:szCs w:val="24"/>
        </w:rPr>
        <w:t xml:space="preserve"> (p. 106)</w:t>
      </w:r>
      <w:r w:rsidR="00056735" w:rsidRPr="00056735">
        <w:rPr>
          <w:rFonts w:ascii="Times New Roman" w:hAnsi="Times New Roman" w:cs="Times New Roman"/>
          <w:sz w:val="24"/>
          <w:szCs w:val="24"/>
        </w:rPr>
        <w:t xml:space="preserve">. </w:t>
      </w:r>
      <w:r w:rsidR="004A6927">
        <w:rPr>
          <w:rFonts w:ascii="Times New Roman" w:hAnsi="Times New Roman" w:cs="Times New Roman"/>
          <w:sz w:val="24"/>
          <w:szCs w:val="24"/>
        </w:rPr>
        <w:t xml:space="preserve">This </w:t>
      </w:r>
      <w:r w:rsidR="009646B4">
        <w:rPr>
          <w:rFonts w:ascii="Times New Roman" w:hAnsi="Times New Roman" w:cs="Times New Roman"/>
          <w:sz w:val="24"/>
          <w:szCs w:val="24"/>
        </w:rPr>
        <w:t xml:space="preserve">conceptualization of dignity violation is </w:t>
      </w:r>
      <w:r w:rsidR="00770F63" w:rsidRPr="00056735">
        <w:rPr>
          <w:rFonts w:ascii="Times New Roman" w:hAnsi="Times New Roman" w:cs="Times New Roman"/>
          <w:sz w:val="24"/>
          <w:szCs w:val="24"/>
        </w:rPr>
        <w:t xml:space="preserve">sufficient to breach the </w:t>
      </w:r>
      <w:r w:rsidR="00770F63">
        <w:rPr>
          <w:rFonts w:ascii="Times New Roman" w:hAnsi="Times New Roman" w:cs="Times New Roman"/>
          <w:sz w:val="24"/>
          <w:szCs w:val="24"/>
        </w:rPr>
        <w:t>anti-torture norm</w:t>
      </w:r>
      <w:r w:rsidR="00770F63" w:rsidRPr="00056735">
        <w:rPr>
          <w:rFonts w:ascii="Times New Roman" w:hAnsi="Times New Roman" w:cs="Times New Roman"/>
          <w:sz w:val="24"/>
          <w:szCs w:val="24"/>
        </w:rPr>
        <w:t xml:space="preserve"> in principle</w:t>
      </w:r>
      <w:r w:rsidR="003356B0">
        <w:rPr>
          <w:rFonts w:ascii="Times New Roman" w:hAnsi="Times New Roman" w:cs="Times New Roman"/>
          <w:sz w:val="24"/>
          <w:szCs w:val="24"/>
        </w:rPr>
        <w:t xml:space="preserve"> and to prompt </w:t>
      </w:r>
      <w:r w:rsidR="00D11321">
        <w:rPr>
          <w:rFonts w:ascii="Times New Roman" w:hAnsi="Times New Roman" w:cs="Times New Roman"/>
          <w:sz w:val="24"/>
          <w:szCs w:val="24"/>
        </w:rPr>
        <w:t>state obligations and response</w:t>
      </w:r>
      <w:r w:rsidR="00770F63" w:rsidRPr="00056735">
        <w:rPr>
          <w:rFonts w:ascii="Times New Roman" w:hAnsi="Times New Roman" w:cs="Times New Roman"/>
          <w:sz w:val="24"/>
          <w:szCs w:val="24"/>
        </w:rPr>
        <w:t xml:space="preserve"> </w:t>
      </w:r>
      <w:r w:rsidR="00572A64">
        <w:rPr>
          <w:rFonts w:ascii="Times New Roman" w:hAnsi="Times New Roman" w:cs="Times New Roman"/>
          <w:sz w:val="24"/>
          <w:szCs w:val="24"/>
        </w:rPr>
        <w:t xml:space="preserve">(p. 106). </w:t>
      </w:r>
      <w:r w:rsidR="00C055E7" w:rsidRPr="00C055E7">
        <w:rPr>
          <w:rFonts w:ascii="Times New Roman" w:hAnsi="Times New Roman" w:cs="Times New Roman"/>
          <w:sz w:val="24"/>
          <w:szCs w:val="24"/>
        </w:rPr>
        <w:t xml:space="preserve">The notion of situational powerlessness, which O’Rourke equates with vulnerability </w:t>
      </w:r>
      <w:r w:rsidR="00C055E7" w:rsidRPr="00C055E7">
        <w:rPr>
          <w:rFonts w:ascii="Times New Roman" w:hAnsi="Times New Roman" w:cs="Times New Roman"/>
          <w:sz w:val="24"/>
          <w:szCs w:val="24"/>
        </w:rPr>
        <w:fldChar w:fldCharType="begin"/>
      </w:r>
      <w:r w:rsidR="00387C4B">
        <w:rPr>
          <w:rFonts w:ascii="Times New Roman" w:hAnsi="Times New Roman" w:cs="Times New Roman"/>
          <w:sz w:val="24"/>
          <w:szCs w:val="24"/>
        </w:rPr>
        <w:instrText xml:space="preserve"> ADDIN ZOTERO_ITEM CSL_CITATION {"citationID":"CIzmHCNn","properties":{"formattedCitation":"(O\\uc0\\u8217{}Rourke, 2024, p. 139)","plainCitation":"(O’Rourke, 2024, p. 139)","dontUpdate":true,"noteIndex":0},"citationItems":[{"id":9800,"uris":["http://zotero.org/users/3321160/items/VCC24M9A"],"itemData":{"id":9800,"type":"book","abstract":"Set against the rapid aging of the world's population, Human Rights and the Care of Older People explores the potential for the rule against torture and ill-treatment in international human rights law to better protect older people from care-related mistreatment. The book's analysis is broadly relevant but is prompted by the widespread reports of older people's suffering due to lack of access to care and coercion in respect of care needs. This includes the deprivation of liberty for 'care'.While recognizing that a new United Nations Convention on the rights of older people is on the horizon, the book argues that there is a pressing need for older people and all human rights actors to use and progressively interpret the established right to freedom from torture and ill-treatment. As an interpretive lens, the book offers a conception of a dignity violation that may amount to prohibited ill-treatment and thus trigger states' positive obligations to protect, including through systemic prevention measures. This book is intended as a tool for advocacy and a call for critical awareness, highlighting the anti-torture norm's potential for more effective application and challenging current legal barriers to such effectiveness. Meant for readers worldwide, the book addresses the rule against torture and ill-treatment from international law, regional European, Inter-American, and African perspectives.This is an open access title available under the terms of a CC BY-NC-ND 4.0 International licence. It is free to read on Oxford Academic and offered as a free PDF download from OUP and selected open access locations.\n             \n             \n              \n            ,  \n             Set against the rapid aging of the world's population, Human Rights and the Care of Older People explores the potential for the rule against torture and ill-treatment in international human rights law to better protect older people from care-related mistreatment. The book's analysis is broadly relevant but is prompted by the widespread reports of older people's suffering due to lack of access to care and coercion in respect of care needs. This includes the deprivation of liberty for 'care'.While recognizing that a new United Nations Convention on the rights of older people is on the horizon, the book argues that there is a pressing need for older people and all human rights actors to use and progressively interpret the established right to freedom from torture and ill-treatment. As an interpretive lens, the book offers a conception of a dignity violation that may amount to prohibited ill-treatment and thus trigger states' positive obligations to protect, including through systemic prevention measures. This book is intended as a tool for advocacy and a call for critical awareness, highlighting the anti-torture norm's potential for more effective application and challenging current legal barriers to such effectiveness. Meant for readers worldwide, the book addresses the rule against torture and ill-treatment from international law, regional European, Inter-American, and African perspectives.This is an open access title available under the terms of a CC BY-NC-ND 4.0 International licence. It is free to read on Oxford Academic and offered as a free PDF download from OUP and selected open access locations.","event-place":"Oxford, New York","ISBN":"978-0-19-285971-6","number-of-pages":"288","publisher":"Oxford University Press","publisher-place":"Oxford, New York","source":"Oxford University Press","title":"Human Rights and the Care of Older People: Dignity, Vulnerability, and the Anti-Torture Norm","title-short":"Human Rights and the Care of Older People","author":[{"family":"O’Rourke","given":"Maeve"}],"issued":{"date-parts":[["2024",5,20]]}},"locator":"139","label":"page"}],"schema":"https://github.com/citation-style-language/schema/raw/master/csl-citation.json"} </w:instrText>
      </w:r>
      <w:r w:rsidR="00C055E7" w:rsidRPr="00C055E7">
        <w:rPr>
          <w:rFonts w:ascii="Times New Roman" w:hAnsi="Times New Roman" w:cs="Times New Roman"/>
          <w:sz w:val="24"/>
          <w:szCs w:val="24"/>
        </w:rPr>
        <w:fldChar w:fldCharType="separate"/>
      </w:r>
      <w:r w:rsidR="00C055E7" w:rsidRPr="00C055E7">
        <w:rPr>
          <w:rFonts w:ascii="Times New Roman" w:hAnsi="Times New Roman" w:cs="Times New Roman"/>
          <w:sz w:val="24"/>
          <w:szCs w:val="24"/>
        </w:rPr>
        <w:t>(p. 139)</w:t>
      </w:r>
      <w:r w:rsidR="00C055E7" w:rsidRPr="00C055E7">
        <w:rPr>
          <w:rFonts w:ascii="Times New Roman" w:hAnsi="Times New Roman" w:cs="Times New Roman"/>
          <w:sz w:val="24"/>
          <w:szCs w:val="24"/>
        </w:rPr>
        <w:fldChar w:fldCharType="end"/>
      </w:r>
      <w:r w:rsidR="00C055E7" w:rsidRPr="00C055E7">
        <w:rPr>
          <w:rFonts w:ascii="Times New Roman" w:hAnsi="Times New Roman" w:cs="Times New Roman"/>
          <w:sz w:val="24"/>
          <w:szCs w:val="24"/>
        </w:rPr>
        <w:t>, is particularly useful in linking state obligations and the harm experienced by older people in relation to care. Sources of older people’s situational powerlessness include: the unavailability of consensual care services and supports, paternalistic culture and an accompanying denial of communication avenues or support, the related inaccessibility of complaints and other accountability mechanisms, institutional priorities that are not concerned with the individual</w:t>
      </w:r>
      <w:r w:rsidR="00145543">
        <w:rPr>
          <w:rFonts w:ascii="Times New Roman" w:hAnsi="Times New Roman" w:cs="Times New Roman"/>
          <w:sz w:val="24"/>
          <w:szCs w:val="24"/>
        </w:rPr>
        <w:t>s</w:t>
      </w:r>
      <w:r w:rsidR="00C055E7" w:rsidRPr="00C055E7">
        <w:rPr>
          <w:rFonts w:ascii="Times New Roman" w:hAnsi="Times New Roman" w:cs="Times New Roman"/>
          <w:sz w:val="24"/>
          <w:szCs w:val="24"/>
        </w:rPr>
        <w:t xml:space="preserve"> in need of care, and </w:t>
      </w:r>
      <w:r w:rsidR="00B81C2B">
        <w:rPr>
          <w:rFonts w:ascii="Times New Roman" w:hAnsi="Times New Roman" w:cs="Times New Roman"/>
          <w:sz w:val="24"/>
          <w:szCs w:val="24"/>
        </w:rPr>
        <w:t xml:space="preserve">policies </w:t>
      </w:r>
      <w:r w:rsidR="00426D9B" w:rsidRPr="00C055E7">
        <w:rPr>
          <w:rFonts w:ascii="Times New Roman" w:hAnsi="Times New Roman" w:cs="Times New Roman"/>
          <w:sz w:val="24"/>
          <w:szCs w:val="24"/>
        </w:rPr>
        <w:t>and modes of resourcing</w:t>
      </w:r>
      <w:r w:rsidR="00B81C2B">
        <w:rPr>
          <w:rFonts w:ascii="Times New Roman" w:hAnsi="Times New Roman" w:cs="Times New Roman"/>
          <w:sz w:val="24"/>
          <w:szCs w:val="24"/>
        </w:rPr>
        <w:t xml:space="preserve"> </w:t>
      </w:r>
      <w:r w:rsidR="00C51747">
        <w:rPr>
          <w:rFonts w:ascii="Times New Roman" w:hAnsi="Times New Roman" w:cs="Times New Roman"/>
          <w:sz w:val="24"/>
          <w:szCs w:val="24"/>
        </w:rPr>
        <w:t xml:space="preserve">that do not </w:t>
      </w:r>
      <w:proofErr w:type="spellStart"/>
      <w:r w:rsidR="00C51747">
        <w:rPr>
          <w:rFonts w:ascii="Times New Roman" w:hAnsi="Times New Roman" w:cs="Times New Roman"/>
          <w:sz w:val="24"/>
          <w:szCs w:val="24"/>
        </w:rPr>
        <w:t>centre</w:t>
      </w:r>
      <w:proofErr w:type="spellEnd"/>
      <w:r w:rsidR="00C51747">
        <w:rPr>
          <w:rFonts w:ascii="Times New Roman" w:hAnsi="Times New Roman" w:cs="Times New Roman"/>
          <w:sz w:val="24"/>
          <w:szCs w:val="24"/>
        </w:rPr>
        <w:t xml:space="preserve"> </w:t>
      </w:r>
      <w:r w:rsidR="00B81C2B" w:rsidRPr="00C055E7">
        <w:rPr>
          <w:rFonts w:ascii="Times New Roman" w:hAnsi="Times New Roman" w:cs="Times New Roman"/>
          <w:sz w:val="24"/>
          <w:szCs w:val="24"/>
        </w:rPr>
        <w:t>the human rights of those giving or receiving care</w:t>
      </w:r>
      <w:r w:rsidR="00B81C2B">
        <w:rPr>
          <w:rFonts w:ascii="Times New Roman" w:hAnsi="Times New Roman" w:cs="Times New Roman"/>
          <w:sz w:val="24"/>
          <w:szCs w:val="24"/>
        </w:rPr>
        <w:t xml:space="preserve"> </w:t>
      </w:r>
      <w:r w:rsidR="00C055E7" w:rsidRPr="00C055E7">
        <w:rPr>
          <w:rFonts w:ascii="Times New Roman" w:hAnsi="Times New Roman" w:cs="Times New Roman"/>
          <w:sz w:val="24"/>
          <w:szCs w:val="24"/>
        </w:rPr>
        <w:fldChar w:fldCharType="begin"/>
      </w:r>
      <w:r w:rsidR="00387C4B">
        <w:rPr>
          <w:rFonts w:ascii="Times New Roman" w:hAnsi="Times New Roman" w:cs="Times New Roman"/>
          <w:sz w:val="24"/>
          <w:szCs w:val="24"/>
        </w:rPr>
        <w:instrText xml:space="preserve"> ADDIN ZOTERO_ITEM CSL_CITATION {"citationID":"7lInIK8e","properties":{"formattedCitation":"(O\\uc0\\u8217{}Rourke, 2024, pp. 179\\uc0\\u8211{}180)","plainCitation":"(O’Rourke, 2024, pp. 179–180)","dontUpdate":true,"noteIndex":0},"citationItems":[{"id":9800,"uris":["http://zotero.org/users/3321160/items/VCC24M9A"],"itemData":{"id":9800,"type":"book","abstract":"Set against the rapid aging of the world's population, Human Rights and the Care of Older People explores the potential for the rule against torture and ill-treatment in international human rights law to better protect older people from care-related mistreatment. The book's analysis is broadly relevant but is prompted by the widespread reports of older people's suffering due to lack of access to care and coercion in respect of care needs. This includes the deprivation of liberty for 'care'.While recognizing that a new United Nations Convention on the rights of older people is on the horizon, the book argues that there is a pressing need for older people and all human rights actors to use and progressively interpret the established right to freedom from torture and ill-treatment. As an interpretive lens, the book offers a conception of a dignity violation that may amount to prohibited ill-treatment and thus trigger states' positive obligations to protect, including through systemic prevention measures. This book is intended as a tool for advocacy and a call for critical awareness, highlighting the anti-torture norm's potential for more effective application and challenging current legal barriers to such effectiveness. Meant for readers worldwide, the book addresses the rule against torture and ill-treatment from international law, regional European, Inter-American, and African perspectives.This is an open access title available under the terms of a CC BY-NC-ND 4.0 International licence. It is free to read on Oxford Academic and offered as a free PDF download from OUP and selected open access locations.\n             \n             \n              \n            ,  \n             Set against the rapid aging of the world's population, Human Rights and the Care of Older People explores the potential for the rule against torture and ill-treatment in international human rights law to better protect older people from care-related mistreatment. The book's analysis is broadly relevant but is prompted by the widespread reports of older people's suffering due to lack of access to care and coercion in respect of care needs. This includes the deprivation of liberty for 'care'.While recognizing that a new United Nations Convention on the rights of older people is on the horizon, the book argues that there is a pressing need for older people and all human rights actors to use and progressively interpret the established right to freedom from torture and ill-treatment. As an interpretive lens, the book offers a conception of a dignity violation that may amount to prohibited ill-treatment and thus trigger states' positive obligations to protect, including through systemic prevention measures. This book is intended as a tool for advocacy and a call for critical awareness, highlighting the anti-torture norm's potential for more effective application and challenging current legal barriers to such effectiveness. Meant for readers worldwide, the book addresses the rule against torture and ill-treatment from international law, regional European, Inter-American, and African perspectives.This is an open access title available under the terms of a CC BY-NC-ND 4.0 International licence. It is free to read on Oxford Academic and offered as a free PDF download from OUP and selected open access locations.","event-place":"Oxford, New York","ISBN":"978-0-19-285971-6","number-of-pages":"288","publisher":"Oxford University Press","publisher-place":"Oxford, New York","source":"Oxford University Press","title":"Human Rights and the Care of Older People: Dignity, Vulnerability, and the Anti-Torture Norm","title-short":"Human Rights and the Care of Older People","author":[{"family":"O’Rourke","given":"Maeve"}],"issued":{"date-parts":[["2024",5,20]]}},"locator":"179-180","label":"page"}],"schema":"https://github.com/citation-style-language/schema/raw/master/csl-citation.json"} </w:instrText>
      </w:r>
      <w:r w:rsidR="00C055E7" w:rsidRPr="00C055E7">
        <w:rPr>
          <w:rFonts w:ascii="Times New Roman" w:hAnsi="Times New Roman" w:cs="Times New Roman"/>
          <w:sz w:val="24"/>
          <w:szCs w:val="24"/>
        </w:rPr>
        <w:fldChar w:fldCharType="separate"/>
      </w:r>
      <w:r w:rsidR="00C055E7" w:rsidRPr="00C055E7">
        <w:rPr>
          <w:rFonts w:ascii="Times New Roman" w:hAnsi="Times New Roman" w:cs="Times New Roman"/>
          <w:sz w:val="24"/>
          <w:szCs w:val="24"/>
        </w:rPr>
        <w:t>(pp. 179–180)</w:t>
      </w:r>
      <w:r w:rsidR="00C055E7" w:rsidRPr="00C055E7">
        <w:rPr>
          <w:rFonts w:ascii="Times New Roman" w:hAnsi="Times New Roman" w:cs="Times New Roman"/>
          <w:sz w:val="24"/>
          <w:szCs w:val="24"/>
        </w:rPr>
        <w:fldChar w:fldCharType="end"/>
      </w:r>
      <w:r w:rsidR="00C055E7" w:rsidRPr="00C055E7">
        <w:rPr>
          <w:rFonts w:ascii="Times New Roman" w:hAnsi="Times New Roman" w:cs="Times New Roman"/>
          <w:sz w:val="24"/>
          <w:szCs w:val="24"/>
        </w:rPr>
        <w:t xml:space="preserve">. States’ positive obligations must be applied in response </w:t>
      </w:r>
      <w:r w:rsidR="00C055E7" w:rsidRPr="00C055E7">
        <w:rPr>
          <w:rFonts w:ascii="Times New Roman" w:hAnsi="Times New Roman" w:cs="Times New Roman"/>
          <w:sz w:val="24"/>
          <w:szCs w:val="24"/>
        </w:rPr>
        <w:lastRenderedPageBreak/>
        <w:t xml:space="preserve">to and with the aim of combatting these structural contributors to older people’s care-related mistreatment </w:t>
      </w:r>
      <w:r w:rsidR="00C055E7" w:rsidRPr="00C055E7">
        <w:rPr>
          <w:rFonts w:ascii="Times New Roman" w:hAnsi="Times New Roman" w:cs="Times New Roman"/>
          <w:sz w:val="24"/>
          <w:szCs w:val="24"/>
        </w:rPr>
        <w:fldChar w:fldCharType="begin"/>
      </w:r>
      <w:r w:rsidR="00387C4B">
        <w:rPr>
          <w:rFonts w:ascii="Times New Roman" w:hAnsi="Times New Roman" w:cs="Times New Roman"/>
          <w:sz w:val="24"/>
          <w:szCs w:val="24"/>
        </w:rPr>
        <w:instrText xml:space="preserve"> ADDIN ZOTERO_ITEM CSL_CITATION {"citationID":"GszxZurw","properties":{"formattedCitation":"(O\\uc0\\u8217{}Rourke, 2024, p. 16)","plainCitation":"(O’Rourke, 2024, p. 16)","dontUpdate":true,"noteIndex":0},"citationItems":[{"id":9800,"uris":["http://zotero.org/users/3321160/items/VCC24M9A"],"itemData":{"id":9800,"type":"book","abstract":"Set against the rapid aging of the world's population, Human Rights and the Care of Older People explores the potential for the rule against torture and ill-treatment in international human rights law to better protect older people from care-related mistreatment. The book's analysis is broadly relevant but is prompted by the widespread reports of older people's suffering due to lack of access to care and coercion in respect of care needs. This includes the deprivation of liberty for 'care'.While recognizing that a new United Nations Convention on the rights of older people is on the horizon, the book argues that there is a pressing need for older people and all human rights actors to use and progressively interpret the established right to freedom from torture and ill-treatment. As an interpretive lens, the book offers a conception of a dignity violation that may amount to prohibited ill-treatment and thus trigger states' positive obligations to protect, including through systemic prevention measures. This book is intended as a tool for advocacy and a call for critical awareness, highlighting the anti-torture norm's potential for more effective application and challenging current legal barriers to such effectiveness. Meant for readers worldwide, the book addresses the rule against torture and ill-treatment from international law, regional European, Inter-American, and African perspectives.This is an open access title available under the terms of a CC BY-NC-ND 4.0 International licence. It is free to read on Oxford Academic and offered as a free PDF download from OUP and selected open access locations.\n             \n             \n              \n            ,  \n             Set against the rapid aging of the world's population, Human Rights and the Care of Older People explores the potential for the rule against torture and ill-treatment in international human rights law to better protect older people from care-related mistreatment. The book's analysis is broadly relevant but is prompted by the widespread reports of older people's suffering due to lack of access to care and coercion in respect of care needs. This includes the deprivation of liberty for 'care'.While recognizing that a new United Nations Convention on the rights of older people is on the horizon, the book argues that there is a pressing need for older people and all human rights actors to use and progressively interpret the established right to freedom from torture and ill-treatment. As an interpretive lens, the book offers a conception of a dignity violation that may amount to prohibited ill-treatment and thus trigger states' positive obligations to protect, including through systemic prevention measures. This book is intended as a tool for advocacy and a call for critical awareness, highlighting the anti-torture norm's potential for more effective application and challenging current legal barriers to such effectiveness. Meant for readers worldwide, the book addresses the rule against torture and ill-treatment from international law, regional European, Inter-American, and African perspectives.This is an open access title available under the terms of a CC BY-NC-ND 4.0 International licence. It is free to read on Oxford Academic and offered as a free PDF download from OUP and selected open access locations.","event-place":"Oxford, New York","ISBN":"978-0-19-285971-6","number-of-pages":"288","publisher":"Oxford University Press","publisher-place":"Oxford, New York","source":"Oxford University Press","title":"Human Rights and the Care of Older People: Dignity, Vulnerability, and the Anti-Torture Norm","title-short":"Human Rights and the Care of Older People","author":[{"family":"O’Rourke","given":"Maeve"}],"issued":{"date-parts":[["2024",5,20]]}},"locator":"16","label":"page"}],"schema":"https://github.com/citation-style-language/schema/raw/master/csl-citation.json"} </w:instrText>
      </w:r>
      <w:r w:rsidR="00C055E7" w:rsidRPr="00C055E7">
        <w:rPr>
          <w:rFonts w:ascii="Times New Roman" w:hAnsi="Times New Roman" w:cs="Times New Roman"/>
          <w:sz w:val="24"/>
          <w:szCs w:val="24"/>
        </w:rPr>
        <w:fldChar w:fldCharType="separate"/>
      </w:r>
      <w:r w:rsidR="00C055E7" w:rsidRPr="00C055E7">
        <w:rPr>
          <w:rFonts w:ascii="Times New Roman" w:hAnsi="Times New Roman" w:cs="Times New Roman"/>
          <w:sz w:val="24"/>
          <w:szCs w:val="24"/>
        </w:rPr>
        <w:t>(p. 16)</w:t>
      </w:r>
      <w:r w:rsidR="00C055E7" w:rsidRPr="00C055E7">
        <w:rPr>
          <w:rFonts w:ascii="Times New Roman" w:hAnsi="Times New Roman" w:cs="Times New Roman"/>
          <w:sz w:val="24"/>
          <w:szCs w:val="24"/>
        </w:rPr>
        <w:fldChar w:fldCharType="end"/>
      </w:r>
      <w:r w:rsidR="00C055E7" w:rsidRPr="00C055E7">
        <w:rPr>
          <w:rFonts w:ascii="Times New Roman" w:hAnsi="Times New Roman" w:cs="Times New Roman"/>
          <w:sz w:val="24"/>
          <w:szCs w:val="24"/>
        </w:rPr>
        <w:t xml:space="preserve">. </w:t>
      </w:r>
    </w:p>
    <w:p w14:paraId="623A8629" w14:textId="6DF79E71" w:rsidR="00A910FB" w:rsidRPr="00A910FB" w:rsidRDefault="00820B65" w:rsidP="00A910F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A910FB" w:rsidRPr="00A910FB">
        <w:rPr>
          <w:rFonts w:ascii="Times New Roman" w:hAnsi="Times New Roman" w:cs="Times New Roman"/>
          <w:sz w:val="24"/>
          <w:szCs w:val="24"/>
        </w:rPr>
        <w:t xml:space="preserve">his is an accessible reference book for non-legal scholars and practitioners </w:t>
      </w:r>
    </w:p>
    <w:p w14:paraId="66FCE678" w14:textId="67B7D2EC" w:rsidR="002C4BE0" w:rsidRDefault="00A910FB" w:rsidP="00A910FB">
      <w:pPr>
        <w:spacing w:after="0" w:line="480" w:lineRule="auto"/>
        <w:rPr>
          <w:rFonts w:ascii="Times New Roman" w:hAnsi="Times New Roman" w:cs="Times New Roman"/>
          <w:sz w:val="24"/>
          <w:szCs w:val="24"/>
        </w:rPr>
      </w:pPr>
      <w:r w:rsidRPr="00A910FB">
        <w:rPr>
          <w:rFonts w:ascii="Times New Roman" w:hAnsi="Times New Roman" w:cs="Times New Roman"/>
          <w:sz w:val="24"/>
          <w:szCs w:val="24"/>
        </w:rPr>
        <w:t>who are interested in</w:t>
      </w:r>
      <w:r w:rsidR="00E65E8B">
        <w:rPr>
          <w:rFonts w:ascii="Times New Roman" w:hAnsi="Times New Roman" w:cs="Times New Roman"/>
          <w:sz w:val="24"/>
          <w:szCs w:val="24"/>
        </w:rPr>
        <w:t xml:space="preserve"> furthering </w:t>
      </w:r>
      <w:r w:rsidR="00B04A88">
        <w:rPr>
          <w:rFonts w:ascii="Times New Roman" w:hAnsi="Times New Roman" w:cs="Times New Roman"/>
          <w:sz w:val="24"/>
          <w:szCs w:val="24"/>
        </w:rPr>
        <w:t xml:space="preserve">the human rights of older </w:t>
      </w:r>
      <w:r w:rsidR="007F6A4B">
        <w:rPr>
          <w:rFonts w:ascii="Times New Roman" w:hAnsi="Times New Roman" w:cs="Times New Roman"/>
          <w:sz w:val="24"/>
          <w:szCs w:val="24"/>
        </w:rPr>
        <w:t xml:space="preserve">people </w:t>
      </w:r>
      <w:r w:rsidR="005A166D">
        <w:rPr>
          <w:rFonts w:ascii="Times New Roman" w:hAnsi="Times New Roman" w:cs="Times New Roman"/>
          <w:sz w:val="24"/>
          <w:szCs w:val="24"/>
        </w:rPr>
        <w:t xml:space="preserve">through </w:t>
      </w:r>
      <w:r w:rsidR="009938D5">
        <w:rPr>
          <w:rFonts w:ascii="Times New Roman" w:hAnsi="Times New Roman" w:cs="Times New Roman"/>
          <w:sz w:val="24"/>
          <w:szCs w:val="24"/>
        </w:rPr>
        <w:t xml:space="preserve">careful design and </w:t>
      </w:r>
      <w:r w:rsidR="00B52194">
        <w:rPr>
          <w:rFonts w:ascii="Times New Roman" w:hAnsi="Times New Roman" w:cs="Times New Roman"/>
          <w:sz w:val="24"/>
          <w:szCs w:val="24"/>
        </w:rPr>
        <w:t>implementation of social policies</w:t>
      </w:r>
      <w:r w:rsidR="00707A3E">
        <w:rPr>
          <w:rFonts w:ascii="Times New Roman" w:hAnsi="Times New Roman" w:cs="Times New Roman"/>
          <w:sz w:val="24"/>
          <w:szCs w:val="24"/>
        </w:rPr>
        <w:t>.</w:t>
      </w:r>
      <w:r w:rsidR="004F4498">
        <w:rPr>
          <w:rFonts w:ascii="Times New Roman" w:hAnsi="Times New Roman" w:cs="Times New Roman"/>
          <w:sz w:val="24"/>
          <w:szCs w:val="24"/>
        </w:rPr>
        <w:t xml:space="preserve"> </w:t>
      </w:r>
      <w:r w:rsidR="00015E16">
        <w:rPr>
          <w:rFonts w:ascii="Times New Roman" w:hAnsi="Times New Roman" w:cs="Times New Roman"/>
          <w:sz w:val="24"/>
          <w:szCs w:val="24"/>
        </w:rPr>
        <w:t xml:space="preserve">The </w:t>
      </w:r>
      <w:r w:rsidR="00D5424D">
        <w:rPr>
          <w:rFonts w:ascii="Times New Roman" w:hAnsi="Times New Roman" w:cs="Times New Roman"/>
          <w:sz w:val="24"/>
          <w:szCs w:val="24"/>
        </w:rPr>
        <w:t xml:space="preserve">book’s </w:t>
      </w:r>
      <w:r w:rsidR="00015E16">
        <w:rPr>
          <w:rFonts w:ascii="Times New Roman" w:hAnsi="Times New Roman" w:cs="Times New Roman"/>
          <w:sz w:val="24"/>
          <w:szCs w:val="24"/>
        </w:rPr>
        <w:t>legal rese</w:t>
      </w:r>
      <w:r w:rsidR="00402B76">
        <w:rPr>
          <w:rFonts w:ascii="Times New Roman" w:hAnsi="Times New Roman" w:cs="Times New Roman"/>
          <w:sz w:val="24"/>
          <w:szCs w:val="24"/>
        </w:rPr>
        <w:t xml:space="preserve">arch </w:t>
      </w:r>
      <w:r w:rsidR="007D21C3">
        <w:rPr>
          <w:rFonts w:ascii="Times New Roman" w:hAnsi="Times New Roman" w:cs="Times New Roman"/>
          <w:sz w:val="24"/>
          <w:szCs w:val="24"/>
        </w:rPr>
        <w:t>incorporates</w:t>
      </w:r>
      <w:r w:rsidR="00402B76">
        <w:rPr>
          <w:rFonts w:ascii="Times New Roman" w:hAnsi="Times New Roman" w:cs="Times New Roman"/>
          <w:sz w:val="24"/>
          <w:szCs w:val="24"/>
        </w:rPr>
        <w:t xml:space="preserve"> insights </w:t>
      </w:r>
      <w:r w:rsidR="00015E16" w:rsidRPr="00015E16">
        <w:rPr>
          <w:rFonts w:ascii="Times New Roman" w:hAnsi="Times New Roman" w:cs="Times New Roman"/>
          <w:sz w:val="24"/>
          <w:szCs w:val="24"/>
        </w:rPr>
        <w:t>from international law, regional European, Inter-American, and African perspectives</w:t>
      </w:r>
      <w:r w:rsidR="007914F8">
        <w:rPr>
          <w:rFonts w:ascii="Times New Roman" w:hAnsi="Times New Roman" w:cs="Times New Roman"/>
          <w:sz w:val="24"/>
          <w:szCs w:val="24"/>
        </w:rPr>
        <w:t>.</w:t>
      </w:r>
      <w:r w:rsidR="003B4180">
        <w:rPr>
          <w:rFonts w:ascii="Times New Roman" w:hAnsi="Times New Roman" w:cs="Times New Roman"/>
          <w:sz w:val="24"/>
          <w:szCs w:val="24"/>
        </w:rPr>
        <w:t xml:space="preserve"> </w:t>
      </w:r>
      <w:r w:rsidR="00380EF2">
        <w:rPr>
          <w:rFonts w:ascii="Times New Roman" w:hAnsi="Times New Roman" w:cs="Times New Roman"/>
          <w:sz w:val="24"/>
          <w:szCs w:val="24"/>
        </w:rPr>
        <w:t xml:space="preserve">As </w:t>
      </w:r>
      <w:r w:rsidR="00380EF2" w:rsidRPr="000D4FCA">
        <w:rPr>
          <w:rFonts w:ascii="Times New Roman" w:hAnsi="Times New Roman" w:cs="Times New Roman"/>
          <w:sz w:val="24"/>
          <w:szCs w:val="24"/>
        </w:rPr>
        <w:t>international law expands to address more areas and deepens its grip on domestic law</w:t>
      </w:r>
      <w:r w:rsidR="00380EF2">
        <w:rPr>
          <w:rFonts w:ascii="Times New Roman" w:hAnsi="Times New Roman" w:cs="Times New Roman"/>
          <w:sz w:val="24"/>
          <w:szCs w:val="24"/>
        </w:rPr>
        <w:t>, it</w:t>
      </w:r>
      <w:r w:rsidR="001106AB" w:rsidRPr="001106AB">
        <w:rPr>
          <w:rFonts w:ascii="Times New Roman" w:hAnsi="Times New Roman" w:cs="Times New Roman"/>
          <w:sz w:val="24"/>
          <w:szCs w:val="24"/>
        </w:rPr>
        <w:t xml:space="preserve"> is assuming more of a central role in </w:t>
      </w:r>
      <w:r w:rsidR="000D5956">
        <w:rPr>
          <w:rFonts w:ascii="Times New Roman" w:hAnsi="Times New Roman" w:cs="Times New Roman"/>
          <w:sz w:val="24"/>
          <w:szCs w:val="24"/>
        </w:rPr>
        <w:t>advancing</w:t>
      </w:r>
      <w:r w:rsidR="001106AB" w:rsidRPr="001106AB">
        <w:rPr>
          <w:rFonts w:ascii="Times New Roman" w:hAnsi="Times New Roman" w:cs="Times New Roman"/>
          <w:sz w:val="24"/>
          <w:szCs w:val="24"/>
        </w:rPr>
        <w:t xml:space="preserve"> the rights of older persons </w:t>
      </w:r>
      <w:r w:rsidR="00387C4B">
        <w:rPr>
          <w:rFonts w:ascii="Times New Roman" w:hAnsi="Times New Roman" w:cs="Times New Roman"/>
          <w:sz w:val="24"/>
          <w:szCs w:val="24"/>
        </w:rPr>
        <w:fldChar w:fldCharType="begin"/>
      </w:r>
      <w:r w:rsidR="00387C4B">
        <w:rPr>
          <w:rFonts w:ascii="Times New Roman" w:hAnsi="Times New Roman" w:cs="Times New Roman"/>
          <w:sz w:val="24"/>
          <w:szCs w:val="24"/>
        </w:rPr>
        <w:instrText xml:space="preserve"> ADDIN ZOTERO_ITEM CSL_CITATION {"citationID":"qAQKZUzJ","properties":{"formattedCitation":"(Tolub et al., 2024, p. 320)","plainCitation":"(Tolub et al., 2024, p. 320)","noteIndex":0},"citationItems":[{"id":11059,"uris":["http://zotero.org/users/3321160/items/4FRDPFPQ"],"itemData":{"id":11059,"type":"article-journal","abstract":"Elder law and disability law have historicallydeveloped separately, with minimal interaction.However, there are many similaritiesandsharedinterests between both fields and both groups - older persons and persons with disabilities. This paper is the first attempt to comparatively analyze the legal academicpublications that have addressedboth disabilityand olderpersons' rights in the last two decades. Using a systematic scoping review methodology, we quantitatively analyzed 180 articlespublished in the last two decades in legaljournalsandqualitativelyanalyzed seventeen ofthese articlesthatdirectly address the relationshipbetween both fields. This systematic review yielded a comprehensive up-to-date quantitative and qualitative picture of the relationship between disability law and elder law. Our findings show that current comparative literatureis one-directional, as it is 'old-age-based'and 'disability-focused'. The analysis producedfive elements characterizingthe relationshipbetween the two fields: similarities,differences, tension, separation efforts and bridgingefforts. Discussingthese findings, this papersuggests two different narratives to explain the revealed relationship. One emphasizes the subtle manifestations of ageism in disability studies and disability law and ableism in gerontology and elder law. The other highlights the different histories of both fields and the human rights movements they serve. More broadly, the paperdemonstrates the benefits ofa systematic scoping review as an empiricalmethodologyfor comparativeresearchgenerally, andspecifically, the opportunities that an open dialogue between elder law and disability law provides.","container-title":"Indiana Health Law Review","issue":"2","journalAbbreviation":"Ind. Health L. Rev.","language":"eng","page":"311-354","source":"HeinOnline","title":"Old-Age-Based and Disability-Focused: A Scoping Literature Review on the Intersection of Older Persons' Rights and Disability Rights","title-short":"Old-Age-Based and Disability-Focused","volume":"21","author":[{"family":"Tolub","given":"Yotam"},{"family":"Mor","given":"Sagit"},{"family":"Doron","given":"Israel"}],"issued":{"date-parts":[["2024"]]}},"locator":"320","label":"page"}],"schema":"https://github.com/citation-style-language/schema/raw/master/csl-citation.json"} </w:instrText>
      </w:r>
      <w:r w:rsidR="00387C4B">
        <w:rPr>
          <w:rFonts w:ascii="Times New Roman" w:hAnsi="Times New Roman" w:cs="Times New Roman"/>
          <w:sz w:val="24"/>
          <w:szCs w:val="24"/>
        </w:rPr>
        <w:fldChar w:fldCharType="separate"/>
      </w:r>
      <w:r w:rsidR="00387C4B" w:rsidRPr="00387C4B">
        <w:rPr>
          <w:rFonts w:ascii="Times New Roman" w:hAnsi="Times New Roman" w:cs="Times New Roman"/>
          <w:sz w:val="24"/>
        </w:rPr>
        <w:t>(Tolub et al., 2024, p. 320)</w:t>
      </w:r>
      <w:r w:rsidR="00387C4B">
        <w:rPr>
          <w:rFonts w:ascii="Times New Roman" w:hAnsi="Times New Roman" w:cs="Times New Roman"/>
          <w:sz w:val="24"/>
          <w:szCs w:val="24"/>
        </w:rPr>
        <w:fldChar w:fldCharType="end"/>
      </w:r>
      <w:r w:rsidR="000D4FCA">
        <w:rPr>
          <w:rFonts w:ascii="Times New Roman" w:hAnsi="Times New Roman" w:cs="Times New Roman"/>
          <w:sz w:val="24"/>
          <w:szCs w:val="24"/>
        </w:rPr>
        <w:t>.</w:t>
      </w:r>
      <w:r w:rsidR="000D4FCA" w:rsidRPr="000D4FCA">
        <w:rPr>
          <w:rFonts w:ascii="Times New Roman" w:hAnsi="Times New Roman" w:cs="Times New Roman"/>
          <w:sz w:val="24"/>
          <w:szCs w:val="24"/>
        </w:rPr>
        <w:t xml:space="preserve"> </w:t>
      </w:r>
      <w:r w:rsidR="00347993">
        <w:rPr>
          <w:rFonts w:ascii="Times New Roman" w:hAnsi="Times New Roman" w:cs="Times New Roman"/>
          <w:sz w:val="24"/>
          <w:szCs w:val="24"/>
        </w:rPr>
        <w:t xml:space="preserve">Weaving in </w:t>
      </w:r>
      <w:r w:rsidR="0080579B" w:rsidRPr="0080579B">
        <w:rPr>
          <w:rFonts w:ascii="Times New Roman" w:hAnsi="Times New Roman" w:cs="Times New Roman"/>
          <w:sz w:val="24"/>
          <w:szCs w:val="24"/>
        </w:rPr>
        <w:t>the anti-torture norm</w:t>
      </w:r>
      <w:r w:rsidR="0057142C">
        <w:rPr>
          <w:rFonts w:ascii="Times New Roman" w:hAnsi="Times New Roman" w:cs="Times New Roman"/>
          <w:sz w:val="24"/>
          <w:szCs w:val="24"/>
        </w:rPr>
        <w:t xml:space="preserve"> </w:t>
      </w:r>
      <w:r w:rsidR="00936437">
        <w:rPr>
          <w:rFonts w:ascii="Times New Roman" w:hAnsi="Times New Roman" w:cs="Times New Roman"/>
          <w:sz w:val="24"/>
          <w:szCs w:val="24"/>
        </w:rPr>
        <w:t xml:space="preserve">in </w:t>
      </w:r>
      <w:r w:rsidR="00F10D7A">
        <w:rPr>
          <w:rFonts w:ascii="Times New Roman" w:hAnsi="Times New Roman" w:cs="Times New Roman"/>
          <w:sz w:val="24"/>
          <w:szCs w:val="24"/>
        </w:rPr>
        <w:t xml:space="preserve">our </w:t>
      </w:r>
      <w:r w:rsidR="00F10D7A" w:rsidRPr="00F10D7A">
        <w:rPr>
          <w:rFonts w:ascii="Times New Roman" w:hAnsi="Times New Roman" w:cs="Times New Roman"/>
          <w:sz w:val="24"/>
          <w:szCs w:val="24"/>
        </w:rPr>
        <w:t>analyses</w:t>
      </w:r>
      <w:r w:rsidR="00F10D7A">
        <w:rPr>
          <w:rFonts w:ascii="Times New Roman" w:hAnsi="Times New Roman" w:cs="Times New Roman"/>
          <w:sz w:val="24"/>
          <w:szCs w:val="24"/>
        </w:rPr>
        <w:t xml:space="preserve"> </w:t>
      </w:r>
      <w:r w:rsidR="00407AD5">
        <w:rPr>
          <w:rFonts w:ascii="Times New Roman" w:hAnsi="Times New Roman" w:cs="Times New Roman"/>
          <w:sz w:val="24"/>
          <w:szCs w:val="24"/>
        </w:rPr>
        <w:t xml:space="preserve">of social care </w:t>
      </w:r>
      <w:r w:rsidR="00D43D1C">
        <w:rPr>
          <w:rFonts w:ascii="Times New Roman" w:hAnsi="Times New Roman" w:cs="Times New Roman"/>
          <w:sz w:val="24"/>
          <w:szCs w:val="24"/>
        </w:rPr>
        <w:t xml:space="preserve">opens up new space to interrogate </w:t>
      </w:r>
      <w:r w:rsidR="00000787">
        <w:rPr>
          <w:rFonts w:ascii="Times New Roman" w:hAnsi="Times New Roman" w:cs="Times New Roman"/>
          <w:sz w:val="24"/>
          <w:szCs w:val="24"/>
        </w:rPr>
        <w:t>government actions and inactions</w:t>
      </w:r>
      <w:r w:rsidR="003B0A3C">
        <w:rPr>
          <w:rFonts w:ascii="Times New Roman" w:hAnsi="Times New Roman" w:cs="Times New Roman"/>
          <w:sz w:val="24"/>
          <w:szCs w:val="24"/>
        </w:rPr>
        <w:t xml:space="preserve"> that frequently normali</w:t>
      </w:r>
      <w:r w:rsidR="00A5567F">
        <w:rPr>
          <w:rFonts w:ascii="Times New Roman" w:hAnsi="Times New Roman" w:cs="Times New Roman"/>
          <w:sz w:val="24"/>
          <w:szCs w:val="24"/>
        </w:rPr>
        <w:t>ze care-related sufferings</w:t>
      </w:r>
      <w:r w:rsidR="00356961">
        <w:rPr>
          <w:rFonts w:ascii="Times New Roman" w:hAnsi="Times New Roman" w:cs="Times New Roman"/>
          <w:sz w:val="24"/>
          <w:szCs w:val="24"/>
        </w:rPr>
        <w:t xml:space="preserve"> – even after the pandemic</w:t>
      </w:r>
      <w:r w:rsidR="00F27CEA">
        <w:rPr>
          <w:rFonts w:ascii="Times New Roman" w:hAnsi="Times New Roman" w:cs="Times New Roman"/>
          <w:sz w:val="24"/>
          <w:szCs w:val="24"/>
        </w:rPr>
        <w:t xml:space="preserve">. </w:t>
      </w:r>
      <w:r w:rsidR="004D7F73">
        <w:rPr>
          <w:rFonts w:ascii="Times New Roman" w:hAnsi="Times New Roman" w:cs="Times New Roman"/>
          <w:sz w:val="24"/>
          <w:szCs w:val="24"/>
        </w:rPr>
        <w:t xml:space="preserve">This </w:t>
      </w:r>
      <w:r w:rsidR="00212600">
        <w:rPr>
          <w:rFonts w:ascii="Times New Roman" w:hAnsi="Times New Roman" w:cs="Times New Roman"/>
          <w:sz w:val="24"/>
          <w:szCs w:val="24"/>
        </w:rPr>
        <w:t xml:space="preserve">provocative </w:t>
      </w:r>
      <w:r w:rsidR="004D7F73">
        <w:rPr>
          <w:rFonts w:ascii="Times New Roman" w:hAnsi="Times New Roman" w:cs="Times New Roman"/>
          <w:sz w:val="24"/>
          <w:szCs w:val="24"/>
        </w:rPr>
        <w:t xml:space="preserve">book </w:t>
      </w:r>
      <w:r w:rsidR="002178A2">
        <w:rPr>
          <w:rFonts w:ascii="Times New Roman" w:hAnsi="Times New Roman" w:cs="Times New Roman"/>
          <w:sz w:val="24"/>
          <w:szCs w:val="24"/>
        </w:rPr>
        <w:t>shows that</w:t>
      </w:r>
      <w:r w:rsidR="004838B5">
        <w:rPr>
          <w:rFonts w:ascii="Times New Roman" w:hAnsi="Times New Roman" w:cs="Times New Roman"/>
          <w:sz w:val="24"/>
          <w:szCs w:val="24"/>
        </w:rPr>
        <w:t xml:space="preserve"> there is a </w:t>
      </w:r>
      <w:r w:rsidR="002F5DFF">
        <w:rPr>
          <w:rFonts w:ascii="Times New Roman" w:hAnsi="Times New Roman" w:cs="Times New Roman"/>
          <w:sz w:val="24"/>
          <w:szCs w:val="24"/>
        </w:rPr>
        <w:t xml:space="preserve">pressing </w:t>
      </w:r>
      <w:r w:rsidR="004838B5">
        <w:rPr>
          <w:rFonts w:ascii="Times New Roman" w:hAnsi="Times New Roman" w:cs="Times New Roman"/>
          <w:sz w:val="24"/>
          <w:szCs w:val="24"/>
        </w:rPr>
        <w:t>need for</w:t>
      </w:r>
      <w:r w:rsidR="00EF6893">
        <w:rPr>
          <w:rFonts w:ascii="Times New Roman" w:hAnsi="Times New Roman" w:cs="Times New Roman"/>
          <w:sz w:val="24"/>
          <w:szCs w:val="24"/>
        </w:rPr>
        <w:t xml:space="preserve"> </w:t>
      </w:r>
      <w:r w:rsidR="0048046C">
        <w:rPr>
          <w:rFonts w:ascii="Times New Roman" w:hAnsi="Times New Roman" w:cs="Times New Roman"/>
          <w:sz w:val="24"/>
          <w:szCs w:val="24"/>
        </w:rPr>
        <w:t xml:space="preserve">further dialogue </w:t>
      </w:r>
      <w:r w:rsidR="00B84154">
        <w:rPr>
          <w:rFonts w:ascii="Times New Roman" w:hAnsi="Times New Roman" w:cs="Times New Roman"/>
          <w:sz w:val="24"/>
          <w:szCs w:val="24"/>
        </w:rPr>
        <w:t xml:space="preserve">between </w:t>
      </w:r>
      <w:r w:rsidR="00EF6893">
        <w:rPr>
          <w:rFonts w:ascii="Times New Roman" w:hAnsi="Times New Roman" w:cs="Times New Roman"/>
          <w:sz w:val="24"/>
          <w:szCs w:val="24"/>
        </w:rPr>
        <w:t xml:space="preserve">legal and social policy scholars </w:t>
      </w:r>
      <w:r w:rsidR="00DE5529">
        <w:rPr>
          <w:rFonts w:ascii="Times New Roman" w:hAnsi="Times New Roman" w:cs="Times New Roman"/>
          <w:sz w:val="24"/>
          <w:szCs w:val="24"/>
        </w:rPr>
        <w:t xml:space="preserve">in order </w:t>
      </w:r>
      <w:r w:rsidR="00EF6893">
        <w:rPr>
          <w:rFonts w:ascii="Times New Roman" w:hAnsi="Times New Roman" w:cs="Times New Roman"/>
          <w:sz w:val="24"/>
          <w:szCs w:val="24"/>
        </w:rPr>
        <w:t>to</w:t>
      </w:r>
      <w:r w:rsidR="00C91D14">
        <w:rPr>
          <w:rFonts w:ascii="Times New Roman" w:hAnsi="Times New Roman" w:cs="Times New Roman"/>
          <w:sz w:val="24"/>
          <w:szCs w:val="24"/>
        </w:rPr>
        <w:t xml:space="preserve"> </w:t>
      </w:r>
      <w:r w:rsidR="0061426F">
        <w:rPr>
          <w:rFonts w:ascii="Times New Roman" w:hAnsi="Times New Roman" w:cs="Times New Roman"/>
          <w:sz w:val="24"/>
          <w:szCs w:val="24"/>
        </w:rPr>
        <w:t xml:space="preserve">advance </w:t>
      </w:r>
      <w:r w:rsidR="00A9411F">
        <w:rPr>
          <w:rFonts w:ascii="Times New Roman" w:hAnsi="Times New Roman" w:cs="Times New Roman"/>
          <w:sz w:val="24"/>
          <w:szCs w:val="24"/>
        </w:rPr>
        <w:t>our understanding</w:t>
      </w:r>
      <w:r w:rsidR="00C9239C">
        <w:rPr>
          <w:rFonts w:ascii="Times New Roman" w:hAnsi="Times New Roman" w:cs="Times New Roman"/>
          <w:sz w:val="24"/>
          <w:szCs w:val="24"/>
        </w:rPr>
        <w:t xml:space="preserve"> </w:t>
      </w:r>
      <w:r w:rsidR="00A9411F">
        <w:rPr>
          <w:rFonts w:ascii="Times New Roman" w:hAnsi="Times New Roman" w:cs="Times New Roman"/>
          <w:sz w:val="24"/>
          <w:szCs w:val="24"/>
        </w:rPr>
        <w:t xml:space="preserve">of </w:t>
      </w:r>
      <w:proofErr w:type="spellStart"/>
      <w:r w:rsidR="003B2099">
        <w:rPr>
          <w:rFonts w:ascii="Times New Roman" w:hAnsi="Times New Roman" w:cs="Times New Roman"/>
          <w:sz w:val="24"/>
          <w:szCs w:val="24"/>
        </w:rPr>
        <w:t>realisation</w:t>
      </w:r>
      <w:proofErr w:type="spellEnd"/>
      <w:r w:rsidR="003B2099">
        <w:rPr>
          <w:rFonts w:ascii="Times New Roman" w:hAnsi="Times New Roman" w:cs="Times New Roman"/>
          <w:sz w:val="24"/>
          <w:szCs w:val="24"/>
        </w:rPr>
        <w:t xml:space="preserve"> of human rights of older people</w:t>
      </w:r>
      <w:r w:rsidR="001E0C66">
        <w:rPr>
          <w:rFonts w:ascii="Times New Roman" w:hAnsi="Times New Roman" w:cs="Times New Roman"/>
          <w:sz w:val="24"/>
          <w:szCs w:val="24"/>
        </w:rPr>
        <w:t xml:space="preserve"> around the globe</w:t>
      </w:r>
      <w:r w:rsidR="00064A5C">
        <w:rPr>
          <w:rFonts w:ascii="Times New Roman" w:hAnsi="Times New Roman" w:cs="Times New Roman"/>
          <w:sz w:val="24"/>
          <w:szCs w:val="24"/>
        </w:rPr>
        <w:t xml:space="preserve">. </w:t>
      </w:r>
      <w:r w:rsidR="00707A3E">
        <w:rPr>
          <w:rFonts w:ascii="Times New Roman" w:hAnsi="Times New Roman" w:cs="Times New Roman"/>
          <w:sz w:val="24"/>
          <w:szCs w:val="24"/>
        </w:rPr>
        <w:t xml:space="preserve"> </w:t>
      </w:r>
      <w:r w:rsidR="008C7A34">
        <w:rPr>
          <w:rFonts w:ascii="Times New Roman" w:hAnsi="Times New Roman" w:cs="Times New Roman"/>
          <w:sz w:val="24"/>
          <w:szCs w:val="24"/>
        </w:rPr>
        <w:t xml:space="preserve"> </w:t>
      </w:r>
    </w:p>
    <w:p w14:paraId="2755232F" w14:textId="2A0390E4" w:rsidR="00523767" w:rsidRPr="002D4F08" w:rsidRDefault="003C558B" w:rsidP="006E33E6">
      <w:pPr>
        <w:spacing w:after="0" w:line="480" w:lineRule="auto"/>
        <w:rPr>
          <w:rFonts w:ascii="Times New Roman" w:hAnsi="Times New Roman" w:cs="Times New Roman"/>
          <w:b/>
          <w:bCs/>
          <w:sz w:val="24"/>
          <w:szCs w:val="24"/>
        </w:rPr>
      </w:pPr>
      <w:r w:rsidRPr="002D4F08">
        <w:rPr>
          <w:rFonts w:ascii="Times New Roman" w:hAnsi="Times New Roman" w:cs="Times New Roman"/>
          <w:b/>
          <w:bCs/>
          <w:sz w:val="24"/>
          <w:szCs w:val="24"/>
        </w:rPr>
        <w:t xml:space="preserve">References </w:t>
      </w:r>
    </w:p>
    <w:p w14:paraId="505335F3" w14:textId="77777777" w:rsidR="00894ED1" w:rsidRPr="00894ED1" w:rsidRDefault="00894ED1" w:rsidP="00894ED1">
      <w:pPr>
        <w:spacing w:line="480" w:lineRule="auto"/>
        <w:ind w:left="480" w:hanging="480"/>
        <w:rPr>
          <w:rFonts w:ascii="Times New Roman" w:hAnsi="Times New Roman" w:cs="Times New Roman"/>
          <w:sz w:val="24"/>
          <w:szCs w:val="24"/>
        </w:rPr>
      </w:pPr>
      <w:r w:rsidRPr="00894ED1">
        <w:rPr>
          <w:rFonts w:ascii="Times New Roman" w:hAnsi="Times New Roman" w:cs="Times New Roman"/>
          <w:sz w:val="24"/>
          <w:szCs w:val="24"/>
        </w:rPr>
        <w:t xml:space="preserve">Byrnes, A. (2020). Human rights unbound: An unrepentant call for a more complete application of human rights in relation to older persons—And beyond. </w:t>
      </w:r>
      <w:r w:rsidRPr="00894ED1">
        <w:rPr>
          <w:rFonts w:ascii="Times New Roman" w:hAnsi="Times New Roman" w:cs="Times New Roman"/>
          <w:i/>
          <w:iCs/>
          <w:sz w:val="24"/>
          <w:szCs w:val="24"/>
        </w:rPr>
        <w:t>Australasian Journal on Ageing</w:t>
      </w:r>
      <w:r w:rsidRPr="00894ED1">
        <w:rPr>
          <w:rFonts w:ascii="Times New Roman" w:hAnsi="Times New Roman" w:cs="Times New Roman"/>
          <w:sz w:val="24"/>
          <w:szCs w:val="24"/>
        </w:rPr>
        <w:t xml:space="preserve">, </w:t>
      </w:r>
      <w:r w:rsidRPr="00894ED1">
        <w:rPr>
          <w:rFonts w:ascii="Times New Roman" w:hAnsi="Times New Roman" w:cs="Times New Roman"/>
          <w:i/>
          <w:iCs/>
          <w:sz w:val="24"/>
          <w:szCs w:val="24"/>
        </w:rPr>
        <w:t>39</w:t>
      </w:r>
      <w:r w:rsidRPr="00894ED1">
        <w:rPr>
          <w:rFonts w:ascii="Times New Roman" w:hAnsi="Times New Roman" w:cs="Times New Roman"/>
          <w:sz w:val="24"/>
          <w:szCs w:val="24"/>
        </w:rPr>
        <w:t xml:space="preserve">(2), 91–98. </w:t>
      </w:r>
      <w:hyperlink r:id="rId7" w:history="1">
        <w:r w:rsidRPr="00894ED1">
          <w:rPr>
            <w:rStyle w:val="Hyperlink"/>
            <w:rFonts w:ascii="Times New Roman" w:hAnsi="Times New Roman" w:cs="Times New Roman"/>
            <w:sz w:val="24"/>
            <w:szCs w:val="24"/>
          </w:rPr>
          <w:t>https://doi.org/10.1111/ajag.12800</w:t>
        </w:r>
      </w:hyperlink>
    </w:p>
    <w:p w14:paraId="649CF2D3" w14:textId="13D99023" w:rsidR="00280A4F" w:rsidRPr="00280A4F" w:rsidRDefault="00280A4F" w:rsidP="00280A4F">
      <w:pPr>
        <w:spacing w:line="480" w:lineRule="auto"/>
        <w:ind w:left="480" w:hanging="480"/>
        <w:rPr>
          <w:rFonts w:ascii="Times New Roman" w:hAnsi="Times New Roman" w:cs="Times New Roman"/>
          <w:sz w:val="24"/>
          <w:szCs w:val="24"/>
        </w:rPr>
      </w:pPr>
      <w:r w:rsidRPr="00280A4F">
        <w:rPr>
          <w:rFonts w:ascii="Times New Roman" w:hAnsi="Times New Roman" w:cs="Times New Roman"/>
          <w:sz w:val="24"/>
          <w:szCs w:val="24"/>
        </w:rPr>
        <w:t xml:space="preserve">Fisher, K. R., &amp; Robinson, S. (2023). Introduction to disability policy through a human rights lens. In S. Robinson &amp; K. R. Fisher (Eds.), </w:t>
      </w:r>
      <w:r w:rsidRPr="00280A4F">
        <w:rPr>
          <w:rFonts w:ascii="Times New Roman" w:hAnsi="Times New Roman" w:cs="Times New Roman"/>
          <w:i/>
          <w:iCs/>
          <w:sz w:val="24"/>
          <w:szCs w:val="24"/>
        </w:rPr>
        <w:t>Research Handbook on Disability Policy</w:t>
      </w:r>
      <w:r w:rsidRPr="00280A4F">
        <w:rPr>
          <w:rFonts w:ascii="Times New Roman" w:hAnsi="Times New Roman" w:cs="Times New Roman"/>
          <w:sz w:val="24"/>
          <w:szCs w:val="24"/>
        </w:rPr>
        <w:t xml:space="preserve"> (pp. 1–10). Edward Elgar Publishing. </w:t>
      </w:r>
    </w:p>
    <w:p w14:paraId="07854ECD" w14:textId="2A292185" w:rsidR="006728D8" w:rsidRPr="006728D8" w:rsidRDefault="006728D8" w:rsidP="006728D8">
      <w:pPr>
        <w:spacing w:after="0" w:line="480" w:lineRule="auto"/>
        <w:ind w:left="480" w:hanging="480"/>
        <w:rPr>
          <w:rFonts w:ascii="Times New Roman" w:eastAsia="Times New Roman" w:hAnsi="Times New Roman" w:cs="Times New Roman"/>
          <w:sz w:val="24"/>
          <w:szCs w:val="24"/>
        </w:rPr>
      </w:pPr>
      <w:proofErr w:type="spellStart"/>
      <w:r w:rsidRPr="006728D8">
        <w:rPr>
          <w:rFonts w:ascii="Times New Roman" w:eastAsia="Times New Roman" w:hAnsi="Times New Roman" w:cs="Times New Roman"/>
          <w:sz w:val="24"/>
          <w:szCs w:val="24"/>
        </w:rPr>
        <w:t>Tolub</w:t>
      </w:r>
      <w:proofErr w:type="spellEnd"/>
      <w:r w:rsidRPr="006728D8">
        <w:rPr>
          <w:rFonts w:ascii="Times New Roman" w:eastAsia="Times New Roman" w:hAnsi="Times New Roman" w:cs="Times New Roman"/>
          <w:sz w:val="24"/>
          <w:szCs w:val="24"/>
        </w:rPr>
        <w:t xml:space="preserve">, Y., Mor, S., &amp; Doron, I. (2024). Old-Age-Based and Disability-Focused: A Scoping Literature Review on the Intersection of Older Persons’ Rights and Disability Rights. </w:t>
      </w:r>
      <w:r w:rsidRPr="006728D8">
        <w:rPr>
          <w:rFonts w:ascii="Times New Roman" w:eastAsia="Times New Roman" w:hAnsi="Times New Roman" w:cs="Times New Roman"/>
          <w:i/>
          <w:iCs/>
          <w:sz w:val="24"/>
          <w:szCs w:val="24"/>
        </w:rPr>
        <w:t>Indiana Health Law Review</w:t>
      </w:r>
      <w:r w:rsidRPr="006728D8">
        <w:rPr>
          <w:rFonts w:ascii="Times New Roman" w:eastAsia="Times New Roman" w:hAnsi="Times New Roman" w:cs="Times New Roman"/>
          <w:sz w:val="24"/>
          <w:szCs w:val="24"/>
        </w:rPr>
        <w:t xml:space="preserve">, </w:t>
      </w:r>
      <w:r w:rsidRPr="006728D8">
        <w:rPr>
          <w:rFonts w:ascii="Times New Roman" w:eastAsia="Times New Roman" w:hAnsi="Times New Roman" w:cs="Times New Roman"/>
          <w:i/>
          <w:iCs/>
          <w:sz w:val="24"/>
          <w:szCs w:val="24"/>
        </w:rPr>
        <w:t>21</w:t>
      </w:r>
      <w:r w:rsidRPr="006728D8">
        <w:rPr>
          <w:rFonts w:ascii="Times New Roman" w:eastAsia="Times New Roman" w:hAnsi="Times New Roman" w:cs="Times New Roman"/>
          <w:sz w:val="24"/>
          <w:szCs w:val="24"/>
        </w:rPr>
        <w:t>(2), 311–354.</w:t>
      </w:r>
    </w:p>
    <w:p w14:paraId="2A7E6DCC" w14:textId="202CB463" w:rsidR="003C558B" w:rsidRPr="003C558B" w:rsidRDefault="003C558B" w:rsidP="00F30D57">
      <w:pPr>
        <w:spacing w:after="0" w:line="480" w:lineRule="auto"/>
        <w:ind w:left="480" w:hanging="480"/>
        <w:rPr>
          <w:rFonts w:ascii="Times New Roman" w:eastAsia="Times New Roman" w:hAnsi="Times New Roman" w:cs="Times New Roman"/>
          <w:sz w:val="24"/>
          <w:szCs w:val="24"/>
        </w:rPr>
      </w:pPr>
    </w:p>
    <w:sectPr w:rsidR="003C558B" w:rsidRPr="003C558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CD58B8" w14:textId="77777777" w:rsidR="00873241" w:rsidRDefault="00873241" w:rsidP="00B90F49">
      <w:pPr>
        <w:spacing w:after="0" w:line="240" w:lineRule="auto"/>
      </w:pPr>
      <w:r>
        <w:separator/>
      </w:r>
    </w:p>
  </w:endnote>
  <w:endnote w:type="continuationSeparator" w:id="0">
    <w:p w14:paraId="2E692438" w14:textId="77777777" w:rsidR="00873241" w:rsidRDefault="00873241" w:rsidP="00B90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38676816"/>
      <w:docPartObj>
        <w:docPartGallery w:val="Page Numbers (Bottom of Page)"/>
        <w:docPartUnique/>
      </w:docPartObj>
    </w:sdtPr>
    <w:sdtEndPr>
      <w:rPr>
        <w:noProof/>
      </w:rPr>
    </w:sdtEndPr>
    <w:sdtContent>
      <w:p w14:paraId="50A114E7" w14:textId="2F6B3AD6" w:rsidR="00B90F49" w:rsidRDefault="00B90F4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503AA07" w14:textId="77777777" w:rsidR="00B90F49" w:rsidRDefault="00B90F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2D0D70" w14:textId="77777777" w:rsidR="00873241" w:rsidRDefault="00873241" w:rsidP="00B90F49">
      <w:pPr>
        <w:spacing w:after="0" w:line="240" w:lineRule="auto"/>
      </w:pPr>
      <w:r>
        <w:separator/>
      </w:r>
    </w:p>
  </w:footnote>
  <w:footnote w:type="continuationSeparator" w:id="0">
    <w:p w14:paraId="45009D36" w14:textId="77777777" w:rsidR="00873241" w:rsidRDefault="00873241" w:rsidP="00B90F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3E6"/>
    <w:rsid w:val="00000787"/>
    <w:rsid w:val="00000DBD"/>
    <w:rsid w:val="0000393F"/>
    <w:rsid w:val="00005829"/>
    <w:rsid w:val="0001000D"/>
    <w:rsid w:val="00015E16"/>
    <w:rsid w:val="000203A7"/>
    <w:rsid w:val="00020F16"/>
    <w:rsid w:val="000226DB"/>
    <w:rsid w:val="000227AD"/>
    <w:rsid w:val="00023B18"/>
    <w:rsid w:val="00026C1F"/>
    <w:rsid w:val="00030A5B"/>
    <w:rsid w:val="000334A4"/>
    <w:rsid w:val="000404DD"/>
    <w:rsid w:val="000511C6"/>
    <w:rsid w:val="000544E9"/>
    <w:rsid w:val="00054866"/>
    <w:rsid w:val="0005494B"/>
    <w:rsid w:val="00056595"/>
    <w:rsid w:val="00056735"/>
    <w:rsid w:val="000572E9"/>
    <w:rsid w:val="00057AE0"/>
    <w:rsid w:val="0006072A"/>
    <w:rsid w:val="00063334"/>
    <w:rsid w:val="00063AD6"/>
    <w:rsid w:val="00064A5C"/>
    <w:rsid w:val="00066414"/>
    <w:rsid w:val="000754B4"/>
    <w:rsid w:val="00075A6B"/>
    <w:rsid w:val="00082AE6"/>
    <w:rsid w:val="00086BA1"/>
    <w:rsid w:val="00093344"/>
    <w:rsid w:val="0009695C"/>
    <w:rsid w:val="000A0612"/>
    <w:rsid w:val="000A171A"/>
    <w:rsid w:val="000A48A2"/>
    <w:rsid w:val="000A60EE"/>
    <w:rsid w:val="000A7167"/>
    <w:rsid w:val="000B0B37"/>
    <w:rsid w:val="000B4E37"/>
    <w:rsid w:val="000B6184"/>
    <w:rsid w:val="000C1BBC"/>
    <w:rsid w:val="000C38BD"/>
    <w:rsid w:val="000C53EF"/>
    <w:rsid w:val="000C6E08"/>
    <w:rsid w:val="000D4FCA"/>
    <w:rsid w:val="000D5956"/>
    <w:rsid w:val="000E090A"/>
    <w:rsid w:val="000E0B89"/>
    <w:rsid w:val="000E1544"/>
    <w:rsid w:val="000E59E1"/>
    <w:rsid w:val="000F1E87"/>
    <w:rsid w:val="000F3BE5"/>
    <w:rsid w:val="000F554A"/>
    <w:rsid w:val="000F59A5"/>
    <w:rsid w:val="000F7648"/>
    <w:rsid w:val="000F77C1"/>
    <w:rsid w:val="00100DE0"/>
    <w:rsid w:val="001106AB"/>
    <w:rsid w:val="001111CB"/>
    <w:rsid w:val="00114DF7"/>
    <w:rsid w:val="00115B5D"/>
    <w:rsid w:val="00117006"/>
    <w:rsid w:val="0012047F"/>
    <w:rsid w:val="00120D29"/>
    <w:rsid w:val="00124628"/>
    <w:rsid w:val="001264FE"/>
    <w:rsid w:val="001314EA"/>
    <w:rsid w:val="00140999"/>
    <w:rsid w:val="00145543"/>
    <w:rsid w:val="00147A95"/>
    <w:rsid w:val="00151D1B"/>
    <w:rsid w:val="0015588E"/>
    <w:rsid w:val="001569BB"/>
    <w:rsid w:val="00157690"/>
    <w:rsid w:val="001635B4"/>
    <w:rsid w:val="00167A13"/>
    <w:rsid w:val="00174C3A"/>
    <w:rsid w:val="001755B2"/>
    <w:rsid w:val="0017676E"/>
    <w:rsid w:val="0017789A"/>
    <w:rsid w:val="001811D5"/>
    <w:rsid w:val="001814EA"/>
    <w:rsid w:val="0018208F"/>
    <w:rsid w:val="00193E77"/>
    <w:rsid w:val="001968D2"/>
    <w:rsid w:val="001A7E60"/>
    <w:rsid w:val="001B238F"/>
    <w:rsid w:val="001B4545"/>
    <w:rsid w:val="001C2EF7"/>
    <w:rsid w:val="001C4D27"/>
    <w:rsid w:val="001D06B9"/>
    <w:rsid w:val="001D128C"/>
    <w:rsid w:val="001D1482"/>
    <w:rsid w:val="001D57DE"/>
    <w:rsid w:val="001D5978"/>
    <w:rsid w:val="001D6BC7"/>
    <w:rsid w:val="001E0C66"/>
    <w:rsid w:val="001E1EEB"/>
    <w:rsid w:val="001E5587"/>
    <w:rsid w:val="001E5934"/>
    <w:rsid w:val="001F09A5"/>
    <w:rsid w:val="001F417B"/>
    <w:rsid w:val="001F5D39"/>
    <w:rsid w:val="001F732A"/>
    <w:rsid w:val="00201D26"/>
    <w:rsid w:val="0021005B"/>
    <w:rsid w:val="00212600"/>
    <w:rsid w:val="00214001"/>
    <w:rsid w:val="00216916"/>
    <w:rsid w:val="002178A2"/>
    <w:rsid w:val="00220BC8"/>
    <w:rsid w:val="002236F4"/>
    <w:rsid w:val="002244EF"/>
    <w:rsid w:val="002247AC"/>
    <w:rsid w:val="00227155"/>
    <w:rsid w:val="00232521"/>
    <w:rsid w:val="002343C6"/>
    <w:rsid w:val="002378AA"/>
    <w:rsid w:val="00241108"/>
    <w:rsid w:val="002446A4"/>
    <w:rsid w:val="00251789"/>
    <w:rsid w:val="00253746"/>
    <w:rsid w:val="00253BCE"/>
    <w:rsid w:val="00253DB4"/>
    <w:rsid w:val="00254E7A"/>
    <w:rsid w:val="00262339"/>
    <w:rsid w:val="00275554"/>
    <w:rsid w:val="00280A4F"/>
    <w:rsid w:val="002874D9"/>
    <w:rsid w:val="00295C7F"/>
    <w:rsid w:val="002964FA"/>
    <w:rsid w:val="00297E53"/>
    <w:rsid w:val="002A22F2"/>
    <w:rsid w:val="002A341E"/>
    <w:rsid w:val="002B03E8"/>
    <w:rsid w:val="002B2847"/>
    <w:rsid w:val="002B5192"/>
    <w:rsid w:val="002B7C59"/>
    <w:rsid w:val="002C3557"/>
    <w:rsid w:val="002C3AF1"/>
    <w:rsid w:val="002C4BE0"/>
    <w:rsid w:val="002C6C4B"/>
    <w:rsid w:val="002D4F08"/>
    <w:rsid w:val="002D73D7"/>
    <w:rsid w:val="002E1AA0"/>
    <w:rsid w:val="002E1CBA"/>
    <w:rsid w:val="002E27A0"/>
    <w:rsid w:val="002E4B7C"/>
    <w:rsid w:val="002E5099"/>
    <w:rsid w:val="002E5317"/>
    <w:rsid w:val="002E6688"/>
    <w:rsid w:val="002F24DA"/>
    <w:rsid w:val="002F4931"/>
    <w:rsid w:val="002F5DFF"/>
    <w:rsid w:val="003023B4"/>
    <w:rsid w:val="00305F84"/>
    <w:rsid w:val="003077FC"/>
    <w:rsid w:val="00311E51"/>
    <w:rsid w:val="0031203C"/>
    <w:rsid w:val="003157C9"/>
    <w:rsid w:val="0031661F"/>
    <w:rsid w:val="00320A85"/>
    <w:rsid w:val="00320DDB"/>
    <w:rsid w:val="00320ED6"/>
    <w:rsid w:val="00322B11"/>
    <w:rsid w:val="0032664B"/>
    <w:rsid w:val="0033315C"/>
    <w:rsid w:val="00334F98"/>
    <w:rsid w:val="003356B0"/>
    <w:rsid w:val="00335B76"/>
    <w:rsid w:val="00345250"/>
    <w:rsid w:val="00345F4F"/>
    <w:rsid w:val="0034607F"/>
    <w:rsid w:val="003466B1"/>
    <w:rsid w:val="00347993"/>
    <w:rsid w:val="00354DAF"/>
    <w:rsid w:val="00355CA9"/>
    <w:rsid w:val="0035655C"/>
    <w:rsid w:val="00356961"/>
    <w:rsid w:val="00363434"/>
    <w:rsid w:val="003712D0"/>
    <w:rsid w:val="003716B9"/>
    <w:rsid w:val="00374D2E"/>
    <w:rsid w:val="00380EF2"/>
    <w:rsid w:val="00382802"/>
    <w:rsid w:val="00383516"/>
    <w:rsid w:val="00387C4B"/>
    <w:rsid w:val="0039318B"/>
    <w:rsid w:val="00395C0C"/>
    <w:rsid w:val="00396947"/>
    <w:rsid w:val="00397398"/>
    <w:rsid w:val="003A0F48"/>
    <w:rsid w:val="003A3ABA"/>
    <w:rsid w:val="003A3FF9"/>
    <w:rsid w:val="003B0A3C"/>
    <w:rsid w:val="003B2099"/>
    <w:rsid w:val="003B2B50"/>
    <w:rsid w:val="003B4180"/>
    <w:rsid w:val="003C511A"/>
    <w:rsid w:val="003C558B"/>
    <w:rsid w:val="003D13E3"/>
    <w:rsid w:val="003D1D92"/>
    <w:rsid w:val="003E183A"/>
    <w:rsid w:val="003E4AE3"/>
    <w:rsid w:val="003F0437"/>
    <w:rsid w:val="003F1E3B"/>
    <w:rsid w:val="003F202A"/>
    <w:rsid w:val="004019AE"/>
    <w:rsid w:val="00402B76"/>
    <w:rsid w:val="004034B7"/>
    <w:rsid w:val="00407AD5"/>
    <w:rsid w:val="00410BB3"/>
    <w:rsid w:val="00415DD9"/>
    <w:rsid w:val="00417A1D"/>
    <w:rsid w:val="00420417"/>
    <w:rsid w:val="00421D96"/>
    <w:rsid w:val="0042239F"/>
    <w:rsid w:val="00426D9B"/>
    <w:rsid w:val="0043279D"/>
    <w:rsid w:val="0043307A"/>
    <w:rsid w:val="00443152"/>
    <w:rsid w:val="00450617"/>
    <w:rsid w:val="004535C6"/>
    <w:rsid w:val="0045484F"/>
    <w:rsid w:val="00461C98"/>
    <w:rsid w:val="00467B20"/>
    <w:rsid w:val="0047245B"/>
    <w:rsid w:val="00473FAD"/>
    <w:rsid w:val="004740D5"/>
    <w:rsid w:val="0048019B"/>
    <w:rsid w:val="0048046C"/>
    <w:rsid w:val="004820E0"/>
    <w:rsid w:val="004826FA"/>
    <w:rsid w:val="00482E5A"/>
    <w:rsid w:val="004838B5"/>
    <w:rsid w:val="00484AC5"/>
    <w:rsid w:val="0049350E"/>
    <w:rsid w:val="00493BAC"/>
    <w:rsid w:val="004A3155"/>
    <w:rsid w:val="004A4735"/>
    <w:rsid w:val="004A493B"/>
    <w:rsid w:val="004A6927"/>
    <w:rsid w:val="004B666A"/>
    <w:rsid w:val="004B6B73"/>
    <w:rsid w:val="004C2AB7"/>
    <w:rsid w:val="004C2AFA"/>
    <w:rsid w:val="004C3871"/>
    <w:rsid w:val="004C42CF"/>
    <w:rsid w:val="004D2344"/>
    <w:rsid w:val="004D4748"/>
    <w:rsid w:val="004D7F73"/>
    <w:rsid w:val="004E0537"/>
    <w:rsid w:val="004F04A8"/>
    <w:rsid w:val="004F13FE"/>
    <w:rsid w:val="004F413D"/>
    <w:rsid w:val="004F4498"/>
    <w:rsid w:val="0050212E"/>
    <w:rsid w:val="00503073"/>
    <w:rsid w:val="00506019"/>
    <w:rsid w:val="00513B38"/>
    <w:rsid w:val="00514A57"/>
    <w:rsid w:val="00515D2A"/>
    <w:rsid w:val="005166EC"/>
    <w:rsid w:val="00516F31"/>
    <w:rsid w:val="00522174"/>
    <w:rsid w:val="00522A23"/>
    <w:rsid w:val="00523767"/>
    <w:rsid w:val="005267AB"/>
    <w:rsid w:val="0053531B"/>
    <w:rsid w:val="005411B7"/>
    <w:rsid w:val="00541A00"/>
    <w:rsid w:val="00543F27"/>
    <w:rsid w:val="005502C7"/>
    <w:rsid w:val="00560E57"/>
    <w:rsid w:val="0056187B"/>
    <w:rsid w:val="00562E6C"/>
    <w:rsid w:val="005666AF"/>
    <w:rsid w:val="00570548"/>
    <w:rsid w:val="0057142C"/>
    <w:rsid w:val="00571C0D"/>
    <w:rsid w:val="00572A64"/>
    <w:rsid w:val="00577509"/>
    <w:rsid w:val="00584055"/>
    <w:rsid w:val="005849E6"/>
    <w:rsid w:val="00584C86"/>
    <w:rsid w:val="00586619"/>
    <w:rsid w:val="005901BD"/>
    <w:rsid w:val="00591973"/>
    <w:rsid w:val="00594D9B"/>
    <w:rsid w:val="00596EB3"/>
    <w:rsid w:val="005A0657"/>
    <w:rsid w:val="005A0D88"/>
    <w:rsid w:val="005A1567"/>
    <w:rsid w:val="005A166D"/>
    <w:rsid w:val="005A1F87"/>
    <w:rsid w:val="005A49A8"/>
    <w:rsid w:val="005C100D"/>
    <w:rsid w:val="005C2BF3"/>
    <w:rsid w:val="005D090F"/>
    <w:rsid w:val="005D5724"/>
    <w:rsid w:val="005D5E91"/>
    <w:rsid w:val="005E2962"/>
    <w:rsid w:val="005E38CC"/>
    <w:rsid w:val="005E4761"/>
    <w:rsid w:val="005F2431"/>
    <w:rsid w:val="005F2BF5"/>
    <w:rsid w:val="005F4389"/>
    <w:rsid w:val="005F45B3"/>
    <w:rsid w:val="005F510A"/>
    <w:rsid w:val="005F70A0"/>
    <w:rsid w:val="00603B47"/>
    <w:rsid w:val="006119B0"/>
    <w:rsid w:val="0061426F"/>
    <w:rsid w:val="0061530E"/>
    <w:rsid w:val="00617916"/>
    <w:rsid w:val="00621547"/>
    <w:rsid w:val="00631025"/>
    <w:rsid w:val="00635981"/>
    <w:rsid w:val="00635CEF"/>
    <w:rsid w:val="006402AD"/>
    <w:rsid w:val="00645159"/>
    <w:rsid w:val="00645CF8"/>
    <w:rsid w:val="0065116F"/>
    <w:rsid w:val="00656BDD"/>
    <w:rsid w:val="00663306"/>
    <w:rsid w:val="006656C6"/>
    <w:rsid w:val="00670989"/>
    <w:rsid w:val="00671E6A"/>
    <w:rsid w:val="006728D8"/>
    <w:rsid w:val="00677953"/>
    <w:rsid w:val="00681E05"/>
    <w:rsid w:val="00681EA1"/>
    <w:rsid w:val="006832F5"/>
    <w:rsid w:val="00686693"/>
    <w:rsid w:val="00690D5E"/>
    <w:rsid w:val="006938C3"/>
    <w:rsid w:val="0069768D"/>
    <w:rsid w:val="006A1848"/>
    <w:rsid w:val="006A7BF8"/>
    <w:rsid w:val="006B321D"/>
    <w:rsid w:val="006B3FF1"/>
    <w:rsid w:val="006B74DE"/>
    <w:rsid w:val="006B79C6"/>
    <w:rsid w:val="006C06ED"/>
    <w:rsid w:val="006C3519"/>
    <w:rsid w:val="006C58A0"/>
    <w:rsid w:val="006C693F"/>
    <w:rsid w:val="006C6B8C"/>
    <w:rsid w:val="006C6BB4"/>
    <w:rsid w:val="006D64F8"/>
    <w:rsid w:val="006D71B4"/>
    <w:rsid w:val="006D76C1"/>
    <w:rsid w:val="006E089F"/>
    <w:rsid w:val="006E0FA4"/>
    <w:rsid w:val="006E19AB"/>
    <w:rsid w:val="006E33E6"/>
    <w:rsid w:val="006E3C2C"/>
    <w:rsid w:val="006E48AC"/>
    <w:rsid w:val="006E643F"/>
    <w:rsid w:val="006F1991"/>
    <w:rsid w:val="006F2A5D"/>
    <w:rsid w:val="006F668C"/>
    <w:rsid w:val="006F6855"/>
    <w:rsid w:val="007023EC"/>
    <w:rsid w:val="007038D6"/>
    <w:rsid w:val="007057F9"/>
    <w:rsid w:val="00707A3E"/>
    <w:rsid w:val="00722771"/>
    <w:rsid w:val="00726A21"/>
    <w:rsid w:val="00730C38"/>
    <w:rsid w:val="007326F2"/>
    <w:rsid w:val="007373A8"/>
    <w:rsid w:val="00742641"/>
    <w:rsid w:val="00751686"/>
    <w:rsid w:val="00756702"/>
    <w:rsid w:val="00756BAD"/>
    <w:rsid w:val="007630D9"/>
    <w:rsid w:val="00763F74"/>
    <w:rsid w:val="0076456F"/>
    <w:rsid w:val="007662FC"/>
    <w:rsid w:val="0076666B"/>
    <w:rsid w:val="00770F63"/>
    <w:rsid w:val="00772BF4"/>
    <w:rsid w:val="007850AC"/>
    <w:rsid w:val="0078658D"/>
    <w:rsid w:val="0079001A"/>
    <w:rsid w:val="007910B3"/>
    <w:rsid w:val="007914F8"/>
    <w:rsid w:val="007A467B"/>
    <w:rsid w:val="007A5CBC"/>
    <w:rsid w:val="007A64F1"/>
    <w:rsid w:val="007B3477"/>
    <w:rsid w:val="007B3C27"/>
    <w:rsid w:val="007B461E"/>
    <w:rsid w:val="007B4B5C"/>
    <w:rsid w:val="007B4C0A"/>
    <w:rsid w:val="007B53D9"/>
    <w:rsid w:val="007C6960"/>
    <w:rsid w:val="007D21C3"/>
    <w:rsid w:val="007D6EC7"/>
    <w:rsid w:val="007D775D"/>
    <w:rsid w:val="007D7E46"/>
    <w:rsid w:val="007E057D"/>
    <w:rsid w:val="007E2726"/>
    <w:rsid w:val="007E36B7"/>
    <w:rsid w:val="007E5E2E"/>
    <w:rsid w:val="007E6A1C"/>
    <w:rsid w:val="007F2471"/>
    <w:rsid w:val="007F3B56"/>
    <w:rsid w:val="007F6A4B"/>
    <w:rsid w:val="00800853"/>
    <w:rsid w:val="0080579B"/>
    <w:rsid w:val="00805887"/>
    <w:rsid w:val="00813CCE"/>
    <w:rsid w:val="008140B9"/>
    <w:rsid w:val="0081466B"/>
    <w:rsid w:val="00820B65"/>
    <w:rsid w:val="00821350"/>
    <w:rsid w:val="008245AC"/>
    <w:rsid w:val="0082623E"/>
    <w:rsid w:val="0083583D"/>
    <w:rsid w:val="008418BF"/>
    <w:rsid w:val="008424B4"/>
    <w:rsid w:val="008632BA"/>
    <w:rsid w:val="00864C94"/>
    <w:rsid w:val="00873241"/>
    <w:rsid w:val="00876F73"/>
    <w:rsid w:val="008826A0"/>
    <w:rsid w:val="008832FE"/>
    <w:rsid w:val="008863AC"/>
    <w:rsid w:val="00892935"/>
    <w:rsid w:val="0089303D"/>
    <w:rsid w:val="00894ED1"/>
    <w:rsid w:val="008A5850"/>
    <w:rsid w:val="008C09AE"/>
    <w:rsid w:val="008C2E59"/>
    <w:rsid w:val="008C7A34"/>
    <w:rsid w:val="008D22FC"/>
    <w:rsid w:val="008D281F"/>
    <w:rsid w:val="008D3898"/>
    <w:rsid w:val="008D7644"/>
    <w:rsid w:val="008E0EE9"/>
    <w:rsid w:val="008E2257"/>
    <w:rsid w:val="008F34CF"/>
    <w:rsid w:val="008F5434"/>
    <w:rsid w:val="008F7424"/>
    <w:rsid w:val="009007E5"/>
    <w:rsid w:val="00901F8A"/>
    <w:rsid w:val="00903180"/>
    <w:rsid w:val="00903C06"/>
    <w:rsid w:val="00905D1A"/>
    <w:rsid w:val="00905D63"/>
    <w:rsid w:val="009106B6"/>
    <w:rsid w:val="0091203A"/>
    <w:rsid w:val="00912621"/>
    <w:rsid w:val="00913AE2"/>
    <w:rsid w:val="009168CC"/>
    <w:rsid w:val="00916B03"/>
    <w:rsid w:val="00920532"/>
    <w:rsid w:val="0092612F"/>
    <w:rsid w:val="00933C85"/>
    <w:rsid w:val="00936437"/>
    <w:rsid w:val="0095359A"/>
    <w:rsid w:val="00954C6A"/>
    <w:rsid w:val="0095602A"/>
    <w:rsid w:val="00962229"/>
    <w:rsid w:val="0096332A"/>
    <w:rsid w:val="00963CA2"/>
    <w:rsid w:val="009646B4"/>
    <w:rsid w:val="0097061D"/>
    <w:rsid w:val="009717CE"/>
    <w:rsid w:val="00972D7F"/>
    <w:rsid w:val="00982E07"/>
    <w:rsid w:val="009913A6"/>
    <w:rsid w:val="00992273"/>
    <w:rsid w:val="00992909"/>
    <w:rsid w:val="00992D82"/>
    <w:rsid w:val="009938D5"/>
    <w:rsid w:val="009A20C9"/>
    <w:rsid w:val="009A304C"/>
    <w:rsid w:val="009A6679"/>
    <w:rsid w:val="009B0791"/>
    <w:rsid w:val="009C2AA0"/>
    <w:rsid w:val="009C7883"/>
    <w:rsid w:val="009D0234"/>
    <w:rsid w:val="009D0C5E"/>
    <w:rsid w:val="009E09C3"/>
    <w:rsid w:val="009E7F89"/>
    <w:rsid w:val="009F3EA0"/>
    <w:rsid w:val="009F54B2"/>
    <w:rsid w:val="009F5B3E"/>
    <w:rsid w:val="009F661E"/>
    <w:rsid w:val="009F7270"/>
    <w:rsid w:val="00A0056B"/>
    <w:rsid w:val="00A011E4"/>
    <w:rsid w:val="00A03AEB"/>
    <w:rsid w:val="00A06882"/>
    <w:rsid w:val="00A11601"/>
    <w:rsid w:val="00A16EC4"/>
    <w:rsid w:val="00A17CEA"/>
    <w:rsid w:val="00A25DB8"/>
    <w:rsid w:val="00A41416"/>
    <w:rsid w:val="00A444C3"/>
    <w:rsid w:val="00A44B14"/>
    <w:rsid w:val="00A534AA"/>
    <w:rsid w:val="00A5567F"/>
    <w:rsid w:val="00A562CC"/>
    <w:rsid w:val="00A64165"/>
    <w:rsid w:val="00A70E88"/>
    <w:rsid w:val="00A71B97"/>
    <w:rsid w:val="00A810D8"/>
    <w:rsid w:val="00A85029"/>
    <w:rsid w:val="00A910FB"/>
    <w:rsid w:val="00A92CD5"/>
    <w:rsid w:val="00A9411F"/>
    <w:rsid w:val="00AA0716"/>
    <w:rsid w:val="00AA08E1"/>
    <w:rsid w:val="00AA1719"/>
    <w:rsid w:val="00AA23FC"/>
    <w:rsid w:val="00AA735A"/>
    <w:rsid w:val="00AB2216"/>
    <w:rsid w:val="00AB2AAD"/>
    <w:rsid w:val="00AC3069"/>
    <w:rsid w:val="00AC726A"/>
    <w:rsid w:val="00AC73D1"/>
    <w:rsid w:val="00AD07B9"/>
    <w:rsid w:val="00AD2996"/>
    <w:rsid w:val="00AD2C37"/>
    <w:rsid w:val="00AD33D0"/>
    <w:rsid w:val="00AE0872"/>
    <w:rsid w:val="00AE1109"/>
    <w:rsid w:val="00AE2A0B"/>
    <w:rsid w:val="00AE37FF"/>
    <w:rsid w:val="00AE49A5"/>
    <w:rsid w:val="00AF19B9"/>
    <w:rsid w:val="00AF63DE"/>
    <w:rsid w:val="00B00C32"/>
    <w:rsid w:val="00B00FF5"/>
    <w:rsid w:val="00B02889"/>
    <w:rsid w:val="00B04A88"/>
    <w:rsid w:val="00B05714"/>
    <w:rsid w:val="00B11758"/>
    <w:rsid w:val="00B1440C"/>
    <w:rsid w:val="00B15E83"/>
    <w:rsid w:val="00B165E0"/>
    <w:rsid w:val="00B20427"/>
    <w:rsid w:val="00B20FD2"/>
    <w:rsid w:val="00B2412C"/>
    <w:rsid w:val="00B2674C"/>
    <w:rsid w:val="00B26997"/>
    <w:rsid w:val="00B51592"/>
    <w:rsid w:val="00B52194"/>
    <w:rsid w:val="00B5364C"/>
    <w:rsid w:val="00B53F43"/>
    <w:rsid w:val="00B54F83"/>
    <w:rsid w:val="00B6335A"/>
    <w:rsid w:val="00B66B1F"/>
    <w:rsid w:val="00B6700F"/>
    <w:rsid w:val="00B70235"/>
    <w:rsid w:val="00B74433"/>
    <w:rsid w:val="00B81B0D"/>
    <w:rsid w:val="00B81C2B"/>
    <w:rsid w:val="00B84154"/>
    <w:rsid w:val="00B845E4"/>
    <w:rsid w:val="00B84AA1"/>
    <w:rsid w:val="00B90EC5"/>
    <w:rsid w:val="00B90F49"/>
    <w:rsid w:val="00B91E98"/>
    <w:rsid w:val="00B9626C"/>
    <w:rsid w:val="00B96DB0"/>
    <w:rsid w:val="00BA093D"/>
    <w:rsid w:val="00BA1D2A"/>
    <w:rsid w:val="00BA7712"/>
    <w:rsid w:val="00BB0050"/>
    <w:rsid w:val="00BB5737"/>
    <w:rsid w:val="00BB5CEB"/>
    <w:rsid w:val="00BB7B9D"/>
    <w:rsid w:val="00BD0256"/>
    <w:rsid w:val="00BD47AA"/>
    <w:rsid w:val="00BD5ABB"/>
    <w:rsid w:val="00BE1266"/>
    <w:rsid w:val="00BE542C"/>
    <w:rsid w:val="00BE687B"/>
    <w:rsid w:val="00BE7531"/>
    <w:rsid w:val="00BF5BCD"/>
    <w:rsid w:val="00C0242E"/>
    <w:rsid w:val="00C055E7"/>
    <w:rsid w:val="00C15943"/>
    <w:rsid w:val="00C1707D"/>
    <w:rsid w:val="00C2333D"/>
    <w:rsid w:val="00C25045"/>
    <w:rsid w:val="00C259B2"/>
    <w:rsid w:val="00C25AB4"/>
    <w:rsid w:val="00C319DC"/>
    <w:rsid w:val="00C31B7F"/>
    <w:rsid w:val="00C344AF"/>
    <w:rsid w:val="00C4403C"/>
    <w:rsid w:val="00C50232"/>
    <w:rsid w:val="00C50E9C"/>
    <w:rsid w:val="00C51747"/>
    <w:rsid w:val="00C538FD"/>
    <w:rsid w:val="00C61373"/>
    <w:rsid w:val="00C62BCF"/>
    <w:rsid w:val="00C8062B"/>
    <w:rsid w:val="00C82BF4"/>
    <w:rsid w:val="00C846D8"/>
    <w:rsid w:val="00C855E6"/>
    <w:rsid w:val="00C875A0"/>
    <w:rsid w:val="00C91AB0"/>
    <w:rsid w:val="00C91D14"/>
    <w:rsid w:val="00C9239C"/>
    <w:rsid w:val="00C948DB"/>
    <w:rsid w:val="00C96B0D"/>
    <w:rsid w:val="00C9786B"/>
    <w:rsid w:val="00CB1C39"/>
    <w:rsid w:val="00CB515C"/>
    <w:rsid w:val="00CC22DC"/>
    <w:rsid w:val="00CC4E46"/>
    <w:rsid w:val="00CD0E68"/>
    <w:rsid w:val="00CD1B5C"/>
    <w:rsid w:val="00CD2121"/>
    <w:rsid w:val="00CD7DFD"/>
    <w:rsid w:val="00CF2017"/>
    <w:rsid w:val="00CF21D8"/>
    <w:rsid w:val="00CF24C4"/>
    <w:rsid w:val="00D0203B"/>
    <w:rsid w:val="00D03A8B"/>
    <w:rsid w:val="00D04FC4"/>
    <w:rsid w:val="00D11321"/>
    <w:rsid w:val="00D17BC5"/>
    <w:rsid w:val="00D221C8"/>
    <w:rsid w:val="00D22AC7"/>
    <w:rsid w:val="00D22AE8"/>
    <w:rsid w:val="00D24760"/>
    <w:rsid w:val="00D249FD"/>
    <w:rsid w:val="00D36FDA"/>
    <w:rsid w:val="00D41F04"/>
    <w:rsid w:val="00D43D1C"/>
    <w:rsid w:val="00D45525"/>
    <w:rsid w:val="00D525D8"/>
    <w:rsid w:val="00D540D6"/>
    <w:rsid w:val="00D5424D"/>
    <w:rsid w:val="00D66BD0"/>
    <w:rsid w:val="00D73DF5"/>
    <w:rsid w:val="00D763AA"/>
    <w:rsid w:val="00D773F8"/>
    <w:rsid w:val="00D816D1"/>
    <w:rsid w:val="00D82346"/>
    <w:rsid w:val="00D82E88"/>
    <w:rsid w:val="00D84BC6"/>
    <w:rsid w:val="00D8607A"/>
    <w:rsid w:val="00D91A52"/>
    <w:rsid w:val="00D947DF"/>
    <w:rsid w:val="00DA4DC2"/>
    <w:rsid w:val="00DA4EF5"/>
    <w:rsid w:val="00DA5909"/>
    <w:rsid w:val="00DB71C9"/>
    <w:rsid w:val="00DC2210"/>
    <w:rsid w:val="00DC3B04"/>
    <w:rsid w:val="00DD0B88"/>
    <w:rsid w:val="00DD474E"/>
    <w:rsid w:val="00DD69FC"/>
    <w:rsid w:val="00DD774B"/>
    <w:rsid w:val="00DD7E41"/>
    <w:rsid w:val="00DE27A6"/>
    <w:rsid w:val="00DE5529"/>
    <w:rsid w:val="00DF3E95"/>
    <w:rsid w:val="00E0052F"/>
    <w:rsid w:val="00E05294"/>
    <w:rsid w:val="00E12AB3"/>
    <w:rsid w:val="00E133C1"/>
    <w:rsid w:val="00E159F9"/>
    <w:rsid w:val="00E16145"/>
    <w:rsid w:val="00E17E09"/>
    <w:rsid w:val="00E32222"/>
    <w:rsid w:val="00E37C12"/>
    <w:rsid w:val="00E41AA0"/>
    <w:rsid w:val="00E4471A"/>
    <w:rsid w:val="00E51E6C"/>
    <w:rsid w:val="00E555E0"/>
    <w:rsid w:val="00E564C8"/>
    <w:rsid w:val="00E60FEF"/>
    <w:rsid w:val="00E63C05"/>
    <w:rsid w:val="00E64BB8"/>
    <w:rsid w:val="00E65E8B"/>
    <w:rsid w:val="00E701ED"/>
    <w:rsid w:val="00E719F2"/>
    <w:rsid w:val="00E7275C"/>
    <w:rsid w:val="00E72CAF"/>
    <w:rsid w:val="00E733A8"/>
    <w:rsid w:val="00E75219"/>
    <w:rsid w:val="00E7650B"/>
    <w:rsid w:val="00E90448"/>
    <w:rsid w:val="00E91986"/>
    <w:rsid w:val="00E9239F"/>
    <w:rsid w:val="00E96A21"/>
    <w:rsid w:val="00E96E74"/>
    <w:rsid w:val="00EA5EEB"/>
    <w:rsid w:val="00EA74E8"/>
    <w:rsid w:val="00EA754C"/>
    <w:rsid w:val="00EB3869"/>
    <w:rsid w:val="00EB3A63"/>
    <w:rsid w:val="00EB3ADA"/>
    <w:rsid w:val="00EB401E"/>
    <w:rsid w:val="00EB44FD"/>
    <w:rsid w:val="00EB5C08"/>
    <w:rsid w:val="00EC086D"/>
    <w:rsid w:val="00EC2C1F"/>
    <w:rsid w:val="00EC336D"/>
    <w:rsid w:val="00EC526F"/>
    <w:rsid w:val="00EC53D2"/>
    <w:rsid w:val="00EC7D87"/>
    <w:rsid w:val="00ED2E3A"/>
    <w:rsid w:val="00ED31F9"/>
    <w:rsid w:val="00ED3BEF"/>
    <w:rsid w:val="00EE022B"/>
    <w:rsid w:val="00EF0079"/>
    <w:rsid w:val="00EF0AC1"/>
    <w:rsid w:val="00EF0E89"/>
    <w:rsid w:val="00EF6893"/>
    <w:rsid w:val="00F01317"/>
    <w:rsid w:val="00F01968"/>
    <w:rsid w:val="00F01A9F"/>
    <w:rsid w:val="00F03A19"/>
    <w:rsid w:val="00F04053"/>
    <w:rsid w:val="00F10D7A"/>
    <w:rsid w:val="00F11B38"/>
    <w:rsid w:val="00F13F40"/>
    <w:rsid w:val="00F145E8"/>
    <w:rsid w:val="00F1533A"/>
    <w:rsid w:val="00F17E75"/>
    <w:rsid w:val="00F21860"/>
    <w:rsid w:val="00F235E1"/>
    <w:rsid w:val="00F27CEA"/>
    <w:rsid w:val="00F308CA"/>
    <w:rsid w:val="00F30C63"/>
    <w:rsid w:val="00F30D57"/>
    <w:rsid w:val="00F314DA"/>
    <w:rsid w:val="00F31FBE"/>
    <w:rsid w:val="00F3518D"/>
    <w:rsid w:val="00F42934"/>
    <w:rsid w:val="00F42E86"/>
    <w:rsid w:val="00F62D32"/>
    <w:rsid w:val="00F64CD7"/>
    <w:rsid w:val="00F726B6"/>
    <w:rsid w:val="00F81765"/>
    <w:rsid w:val="00F86510"/>
    <w:rsid w:val="00F87400"/>
    <w:rsid w:val="00F87C63"/>
    <w:rsid w:val="00F90923"/>
    <w:rsid w:val="00F9309F"/>
    <w:rsid w:val="00F949E2"/>
    <w:rsid w:val="00FA1F39"/>
    <w:rsid w:val="00FB3A18"/>
    <w:rsid w:val="00FB41AE"/>
    <w:rsid w:val="00FB54DA"/>
    <w:rsid w:val="00FB774C"/>
    <w:rsid w:val="00FC1485"/>
    <w:rsid w:val="00FC531C"/>
    <w:rsid w:val="00FC5E1C"/>
    <w:rsid w:val="00FC7EC5"/>
    <w:rsid w:val="00FD19C3"/>
    <w:rsid w:val="00FD42D5"/>
    <w:rsid w:val="00FD60C2"/>
    <w:rsid w:val="00FD6126"/>
    <w:rsid w:val="00FE48E8"/>
    <w:rsid w:val="00FE6070"/>
    <w:rsid w:val="00FE6C20"/>
    <w:rsid w:val="00FE6C23"/>
    <w:rsid w:val="00FF4EC5"/>
    <w:rsid w:val="00FF4FC4"/>
    <w:rsid w:val="00FF57BC"/>
    <w:rsid w:val="00FF7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2A7D9"/>
  <w15:chartTrackingRefBased/>
  <w15:docId w15:val="{CD61FB52-7857-407A-A4A7-A146FE12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11B7"/>
    <w:rPr>
      <w:color w:val="0563C1" w:themeColor="hyperlink"/>
      <w:u w:val="single"/>
    </w:rPr>
  </w:style>
  <w:style w:type="character" w:styleId="UnresolvedMention">
    <w:name w:val="Unresolved Mention"/>
    <w:basedOn w:val="DefaultParagraphFont"/>
    <w:uiPriority w:val="99"/>
    <w:semiHidden/>
    <w:unhideWhenUsed/>
    <w:rsid w:val="005411B7"/>
    <w:rPr>
      <w:color w:val="605E5C"/>
      <w:shd w:val="clear" w:color="auto" w:fill="E1DFDD"/>
    </w:rPr>
  </w:style>
  <w:style w:type="paragraph" w:styleId="Header">
    <w:name w:val="header"/>
    <w:basedOn w:val="Normal"/>
    <w:link w:val="HeaderChar"/>
    <w:uiPriority w:val="99"/>
    <w:unhideWhenUsed/>
    <w:rsid w:val="00B90F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F49"/>
  </w:style>
  <w:style w:type="paragraph" w:styleId="Footer">
    <w:name w:val="footer"/>
    <w:basedOn w:val="Normal"/>
    <w:link w:val="FooterChar"/>
    <w:uiPriority w:val="99"/>
    <w:unhideWhenUsed/>
    <w:rsid w:val="00B90F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399231">
      <w:bodyDiv w:val="1"/>
      <w:marLeft w:val="0"/>
      <w:marRight w:val="0"/>
      <w:marTop w:val="0"/>
      <w:marBottom w:val="0"/>
      <w:divBdr>
        <w:top w:val="none" w:sz="0" w:space="0" w:color="auto"/>
        <w:left w:val="none" w:sz="0" w:space="0" w:color="auto"/>
        <w:bottom w:val="none" w:sz="0" w:space="0" w:color="auto"/>
        <w:right w:val="none" w:sz="0" w:space="0" w:color="auto"/>
      </w:divBdr>
      <w:divsChild>
        <w:div w:id="1955862630">
          <w:marLeft w:val="480"/>
          <w:marRight w:val="0"/>
          <w:marTop w:val="0"/>
          <w:marBottom w:val="0"/>
          <w:divBdr>
            <w:top w:val="none" w:sz="0" w:space="0" w:color="auto"/>
            <w:left w:val="none" w:sz="0" w:space="0" w:color="auto"/>
            <w:bottom w:val="none" w:sz="0" w:space="0" w:color="auto"/>
            <w:right w:val="none" w:sz="0" w:space="0" w:color="auto"/>
          </w:divBdr>
          <w:divsChild>
            <w:div w:id="132454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81983">
      <w:bodyDiv w:val="1"/>
      <w:marLeft w:val="0"/>
      <w:marRight w:val="0"/>
      <w:marTop w:val="0"/>
      <w:marBottom w:val="0"/>
      <w:divBdr>
        <w:top w:val="none" w:sz="0" w:space="0" w:color="auto"/>
        <w:left w:val="none" w:sz="0" w:space="0" w:color="auto"/>
        <w:bottom w:val="none" w:sz="0" w:space="0" w:color="auto"/>
        <w:right w:val="none" w:sz="0" w:space="0" w:color="auto"/>
      </w:divBdr>
      <w:divsChild>
        <w:div w:id="2145459446">
          <w:marLeft w:val="480"/>
          <w:marRight w:val="0"/>
          <w:marTop w:val="0"/>
          <w:marBottom w:val="0"/>
          <w:divBdr>
            <w:top w:val="none" w:sz="0" w:space="0" w:color="auto"/>
            <w:left w:val="none" w:sz="0" w:space="0" w:color="auto"/>
            <w:bottom w:val="none" w:sz="0" w:space="0" w:color="auto"/>
            <w:right w:val="none" w:sz="0" w:space="0" w:color="auto"/>
          </w:divBdr>
          <w:divsChild>
            <w:div w:id="67380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172023">
      <w:bodyDiv w:val="1"/>
      <w:marLeft w:val="0"/>
      <w:marRight w:val="0"/>
      <w:marTop w:val="0"/>
      <w:marBottom w:val="0"/>
      <w:divBdr>
        <w:top w:val="none" w:sz="0" w:space="0" w:color="auto"/>
        <w:left w:val="none" w:sz="0" w:space="0" w:color="auto"/>
        <w:bottom w:val="none" w:sz="0" w:space="0" w:color="auto"/>
        <w:right w:val="none" w:sz="0" w:space="0" w:color="auto"/>
      </w:divBdr>
      <w:divsChild>
        <w:div w:id="1323923932">
          <w:marLeft w:val="480"/>
          <w:marRight w:val="0"/>
          <w:marTop w:val="0"/>
          <w:marBottom w:val="0"/>
          <w:divBdr>
            <w:top w:val="none" w:sz="0" w:space="0" w:color="auto"/>
            <w:left w:val="none" w:sz="0" w:space="0" w:color="auto"/>
            <w:bottom w:val="none" w:sz="0" w:space="0" w:color="auto"/>
            <w:right w:val="none" w:sz="0" w:space="0" w:color="auto"/>
          </w:divBdr>
          <w:divsChild>
            <w:div w:id="211336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419887">
      <w:bodyDiv w:val="1"/>
      <w:marLeft w:val="0"/>
      <w:marRight w:val="0"/>
      <w:marTop w:val="0"/>
      <w:marBottom w:val="0"/>
      <w:divBdr>
        <w:top w:val="none" w:sz="0" w:space="0" w:color="auto"/>
        <w:left w:val="none" w:sz="0" w:space="0" w:color="auto"/>
        <w:bottom w:val="none" w:sz="0" w:space="0" w:color="auto"/>
        <w:right w:val="none" w:sz="0" w:space="0" w:color="auto"/>
      </w:divBdr>
      <w:divsChild>
        <w:div w:id="1384135979">
          <w:marLeft w:val="480"/>
          <w:marRight w:val="0"/>
          <w:marTop w:val="0"/>
          <w:marBottom w:val="0"/>
          <w:divBdr>
            <w:top w:val="none" w:sz="0" w:space="0" w:color="auto"/>
            <w:left w:val="none" w:sz="0" w:space="0" w:color="auto"/>
            <w:bottom w:val="none" w:sz="0" w:space="0" w:color="auto"/>
            <w:right w:val="none" w:sz="0" w:space="0" w:color="auto"/>
          </w:divBdr>
          <w:divsChild>
            <w:div w:id="78338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071661">
      <w:bodyDiv w:val="1"/>
      <w:marLeft w:val="0"/>
      <w:marRight w:val="0"/>
      <w:marTop w:val="0"/>
      <w:marBottom w:val="0"/>
      <w:divBdr>
        <w:top w:val="none" w:sz="0" w:space="0" w:color="auto"/>
        <w:left w:val="none" w:sz="0" w:space="0" w:color="auto"/>
        <w:bottom w:val="none" w:sz="0" w:space="0" w:color="auto"/>
        <w:right w:val="none" w:sz="0" w:space="0" w:color="auto"/>
      </w:divBdr>
      <w:divsChild>
        <w:div w:id="116919478">
          <w:marLeft w:val="480"/>
          <w:marRight w:val="0"/>
          <w:marTop w:val="0"/>
          <w:marBottom w:val="0"/>
          <w:divBdr>
            <w:top w:val="none" w:sz="0" w:space="0" w:color="auto"/>
            <w:left w:val="none" w:sz="0" w:space="0" w:color="auto"/>
            <w:bottom w:val="none" w:sz="0" w:space="0" w:color="auto"/>
            <w:right w:val="none" w:sz="0" w:space="0" w:color="auto"/>
          </w:divBdr>
          <w:divsChild>
            <w:div w:id="68539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55047">
      <w:bodyDiv w:val="1"/>
      <w:marLeft w:val="0"/>
      <w:marRight w:val="0"/>
      <w:marTop w:val="0"/>
      <w:marBottom w:val="0"/>
      <w:divBdr>
        <w:top w:val="none" w:sz="0" w:space="0" w:color="auto"/>
        <w:left w:val="none" w:sz="0" w:space="0" w:color="auto"/>
        <w:bottom w:val="none" w:sz="0" w:space="0" w:color="auto"/>
        <w:right w:val="none" w:sz="0" w:space="0" w:color="auto"/>
      </w:divBdr>
      <w:divsChild>
        <w:div w:id="1837650635">
          <w:marLeft w:val="480"/>
          <w:marRight w:val="0"/>
          <w:marTop w:val="0"/>
          <w:marBottom w:val="0"/>
          <w:divBdr>
            <w:top w:val="none" w:sz="0" w:space="0" w:color="auto"/>
            <w:left w:val="none" w:sz="0" w:space="0" w:color="auto"/>
            <w:bottom w:val="none" w:sz="0" w:space="0" w:color="auto"/>
            <w:right w:val="none" w:sz="0" w:space="0" w:color="auto"/>
          </w:divBdr>
          <w:divsChild>
            <w:div w:id="20626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399948">
      <w:bodyDiv w:val="1"/>
      <w:marLeft w:val="0"/>
      <w:marRight w:val="0"/>
      <w:marTop w:val="0"/>
      <w:marBottom w:val="0"/>
      <w:divBdr>
        <w:top w:val="none" w:sz="0" w:space="0" w:color="auto"/>
        <w:left w:val="none" w:sz="0" w:space="0" w:color="auto"/>
        <w:bottom w:val="none" w:sz="0" w:space="0" w:color="auto"/>
        <w:right w:val="none" w:sz="0" w:space="0" w:color="auto"/>
      </w:divBdr>
      <w:divsChild>
        <w:div w:id="814680605">
          <w:marLeft w:val="480"/>
          <w:marRight w:val="0"/>
          <w:marTop w:val="0"/>
          <w:marBottom w:val="0"/>
          <w:divBdr>
            <w:top w:val="none" w:sz="0" w:space="0" w:color="auto"/>
            <w:left w:val="none" w:sz="0" w:space="0" w:color="auto"/>
            <w:bottom w:val="none" w:sz="0" w:space="0" w:color="auto"/>
            <w:right w:val="none" w:sz="0" w:space="0" w:color="auto"/>
          </w:divBdr>
          <w:divsChild>
            <w:div w:id="23829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612054">
      <w:bodyDiv w:val="1"/>
      <w:marLeft w:val="0"/>
      <w:marRight w:val="0"/>
      <w:marTop w:val="0"/>
      <w:marBottom w:val="0"/>
      <w:divBdr>
        <w:top w:val="none" w:sz="0" w:space="0" w:color="auto"/>
        <w:left w:val="none" w:sz="0" w:space="0" w:color="auto"/>
        <w:bottom w:val="none" w:sz="0" w:space="0" w:color="auto"/>
        <w:right w:val="none" w:sz="0" w:space="0" w:color="auto"/>
      </w:divBdr>
      <w:divsChild>
        <w:div w:id="850488097">
          <w:marLeft w:val="480"/>
          <w:marRight w:val="0"/>
          <w:marTop w:val="0"/>
          <w:marBottom w:val="0"/>
          <w:divBdr>
            <w:top w:val="none" w:sz="0" w:space="0" w:color="auto"/>
            <w:left w:val="none" w:sz="0" w:space="0" w:color="auto"/>
            <w:bottom w:val="none" w:sz="0" w:space="0" w:color="auto"/>
            <w:right w:val="none" w:sz="0" w:space="0" w:color="auto"/>
          </w:divBdr>
          <w:divsChild>
            <w:div w:id="4050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585791">
      <w:bodyDiv w:val="1"/>
      <w:marLeft w:val="0"/>
      <w:marRight w:val="0"/>
      <w:marTop w:val="0"/>
      <w:marBottom w:val="0"/>
      <w:divBdr>
        <w:top w:val="none" w:sz="0" w:space="0" w:color="auto"/>
        <w:left w:val="none" w:sz="0" w:space="0" w:color="auto"/>
        <w:bottom w:val="none" w:sz="0" w:space="0" w:color="auto"/>
        <w:right w:val="none" w:sz="0" w:space="0" w:color="auto"/>
      </w:divBdr>
      <w:divsChild>
        <w:div w:id="1744139148">
          <w:marLeft w:val="480"/>
          <w:marRight w:val="0"/>
          <w:marTop w:val="0"/>
          <w:marBottom w:val="0"/>
          <w:divBdr>
            <w:top w:val="none" w:sz="0" w:space="0" w:color="auto"/>
            <w:left w:val="none" w:sz="0" w:space="0" w:color="auto"/>
            <w:bottom w:val="none" w:sz="0" w:space="0" w:color="auto"/>
            <w:right w:val="none" w:sz="0" w:space="0" w:color="auto"/>
          </w:divBdr>
          <w:divsChild>
            <w:div w:id="179093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doi.org/10.1111/ajag.128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oland.lai@yorku.c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7548</Words>
  <Characters>43027</Characters>
  <Application>Microsoft Office Word</Application>
  <DocSecurity>0</DocSecurity>
  <Lines>358</Lines>
  <Paragraphs>100</Paragraphs>
  <ScaleCrop>false</ScaleCrop>
  <Company/>
  <LinksUpToDate>false</LinksUpToDate>
  <CharactersWithSpaces>50475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 Land Lai</dc:creator>
  <cp:keywords/>
  <dc:description/>
  <cp:lastModifiedBy>Po Land Lai</cp:lastModifiedBy>
  <cp:revision>27</cp:revision>
  <cp:lastPrinted>2024-10-28T13:07:00Z</cp:lastPrinted>
  <dcterms:created xsi:type="dcterms:W3CDTF">2024-10-28T13:46:00Z</dcterms:created>
  <dcterms:modified xsi:type="dcterms:W3CDTF">2024-10-28T15:17:00Z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id="2dIQH0du"/&gt;&lt;style id="http://www.zotero.org/styles/apa" locale="en-US" hasBibliography="1" bibliographyStyleHasBeenSet="0"/&gt;&lt;prefs&gt;&lt;pref name="fieldType" value="Field"/&gt;&lt;/prefs&gt;&lt;/data&gt;</vt:lpwstr>
  </property>
</Properties>
</file>