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52851" w14:textId="54B10CB3" w:rsidR="006A4A17" w:rsidRPr="00DB4379" w:rsidRDefault="00942DA1" w:rsidP="00A54AFB">
      <w:pPr>
        <w:spacing w:line="480" w:lineRule="auto"/>
        <w:jc w:val="center"/>
        <w:rPr>
          <w:b/>
          <w:bCs/>
          <w:sz w:val="32"/>
          <w:szCs w:val="32"/>
          <w:lang w:val="en-US"/>
        </w:rPr>
      </w:pPr>
      <w:r>
        <w:rPr>
          <w:b/>
          <w:bCs/>
          <w:sz w:val="32"/>
          <w:szCs w:val="32"/>
          <w:lang w:val="en-US"/>
        </w:rPr>
        <w:t>Diradical Character as a Guiding Principle for t</w:t>
      </w:r>
      <w:r w:rsidR="006A4A17">
        <w:rPr>
          <w:b/>
          <w:bCs/>
          <w:sz w:val="32"/>
          <w:szCs w:val="32"/>
          <w:lang w:val="en-US"/>
        </w:rPr>
        <w:t xml:space="preserve">he Insightful Design of Molecular Nanowires with an Increasing Conductance with Length </w:t>
      </w:r>
    </w:p>
    <w:p w14:paraId="6B58703F" w14:textId="4541578D" w:rsidR="006A4A17" w:rsidRPr="00BB7FB8" w:rsidRDefault="006A4A17" w:rsidP="001C51DE">
      <w:pPr>
        <w:jc w:val="center"/>
        <w:rPr>
          <w:b/>
          <w:bCs/>
          <w:sz w:val="36"/>
          <w:szCs w:val="36"/>
          <w:vertAlign w:val="superscript"/>
          <w:lang w:val="en-US"/>
        </w:rPr>
      </w:pPr>
      <w:r w:rsidRPr="00BB7FB8">
        <w:rPr>
          <w:lang w:val="en-US"/>
        </w:rPr>
        <w:t>Thijs Stuyver,</w:t>
      </w:r>
      <w:r w:rsidRPr="00BB7FB8">
        <w:rPr>
          <w:vertAlign w:val="superscript"/>
          <w:lang w:val="en-US"/>
        </w:rPr>
        <w:t>1</w:t>
      </w:r>
      <w:r>
        <w:rPr>
          <w:rStyle w:val="Voetnootmarkering"/>
        </w:rPr>
        <w:footnoteReference w:id="1"/>
      </w:r>
      <w:r w:rsidRPr="00BB7FB8">
        <w:rPr>
          <w:lang w:val="en-US"/>
        </w:rPr>
        <w:t xml:space="preserve"> </w:t>
      </w:r>
      <w:r w:rsidRPr="00D57206">
        <w:rPr>
          <w:lang w:val="en-US"/>
        </w:rPr>
        <w:t>Tao Zeng,</w:t>
      </w:r>
      <w:r>
        <w:rPr>
          <w:vertAlign w:val="superscript"/>
          <w:lang w:val="en-US"/>
        </w:rPr>
        <w:t>2</w:t>
      </w:r>
      <w:r w:rsidRPr="00D57206">
        <w:rPr>
          <w:lang w:val="en-US"/>
        </w:rPr>
        <w:t xml:space="preserve"> Yuta Tsuji,</w:t>
      </w:r>
      <w:r w:rsidRPr="00D57206">
        <w:rPr>
          <w:vertAlign w:val="superscript"/>
          <w:lang w:val="en-US"/>
        </w:rPr>
        <w:t>3</w:t>
      </w:r>
      <w:r w:rsidRPr="00BB7FB8">
        <w:rPr>
          <w:vertAlign w:val="superscript"/>
          <w:lang w:val="en-US"/>
        </w:rPr>
        <w:t xml:space="preserve"> </w:t>
      </w:r>
      <w:r w:rsidRPr="00BB7FB8">
        <w:rPr>
          <w:lang w:val="en-US"/>
        </w:rPr>
        <w:t>Paul Geerlings,</w:t>
      </w:r>
      <w:r w:rsidRPr="00BB7FB8">
        <w:rPr>
          <w:vertAlign w:val="superscript"/>
          <w:lang w:val="en-US"/>
        </w:rPr>
        <w:t>1</w:t>
      </w:r>
      <w:r w:rsidRPr="00BB7FB8">
        <w:rPr>
          <w:lang w:val="en-US"/>
        </w:rPr>
        <w:t xml:space="preserve"> Frank De Proft</w:t>
      </w:r>
      <w:r w:rsidRPr="00BB7FB8">
        <w:rPr>
          <w:vertAlign w:val="superscript"/>
          <w:lang w:val="en-US"/>
        </w:rPr>
        <w:t>1</w:t>
      </w:r>
    </w:p>
    <w:p w14:paraId="3AD707A7" w14:textId="77777777" w:rsidR="006A4A17" w:rsidRPr="00BB7FB8" w:rsidRDefault="006A4A17" w:rsidP="006A4A17">
      <w:pPr>
        <w:jc w:val="center"/>
        <w:rPr>
          <w:lang w:val="en-US"/>
        </w:rPr>
      </w:pPr>
    </w:p>
    <w:p w14:paraId="664D5CF8" w14:textId="77777777" w:rsidR="006A4A17" w:rsidRPr="00BB7FB8" w:rsidRDefault="006A4A17" w:rsidP="006A4A17">
      <w:pPr>
        <w:spacing w:line="480" w:lineRule="auto"/>
        <w:jc w:val="center"/>
        <w:rPr>
          <w:lang w:val="en-US"/>
        </w:rPr>
      </w:pPr>
    </w:p>
    <w:p w14:paraId="40F484FD" w14:textId="77777777" w:rsidR="006A4A17" w:rsidRPr="00D34088" w:rsidRDefault="006A4A17" w:rsidP="008B300C">
      <w:pPr>
        <w:spacing w:line="480" w:lineRule="auto"/>
        <w:jc w:val="center"/>
      </w:pPr>
      <w:r w:rsidRPr="00D34088">
        <w:rPr>
          <w:vertAlign w:val="superscript"/>
        </w:rPr>
        <w:t xml:space="preserve">1 </w:t>
      </w:r>
      <w:r w:rsidRPr="00D34088">
        <w:t xml:space="preserve">Algemene Chemie, Vrije Universiteit Brussel, Pleinlaan 2, 1050 Brussels, Belgium </w:t>
      </w:r>
    </w:p>
    <w:p w14:paraId="7F9EB127" w14:textId="77777777" w:rsidR="006A4A17" w:rsidRDefault="006A4A17" w:rsidP="008B300C">
      <w:pPr>
        <w:spacing w:line="480" w:lineRule="auto"/>
      </w:pPr>
    </w:p>
    <w:p w14:paraId="27272C66" w14:textId="51B758A4" w:rsidR="006A4A17" w:rsidRDefault="006A4A17" w:rsidP="008B300C">
      <w:pPr>
        <w:spacing w:line="480" w:lineRule="auto"/>
        <w:jc w:val="center"/>
        <w:rPr>
          <w:lang w:val="en-US"/>
        </w:rPr>
      </w:pPr>
      <w:r>
        <w:rPr>
          <w:vertAlign w:val="superscript"/>
          <w:lang w:val="en-US"/>
        </w:rPr>
        <w:t xml:space="preserve">2 </w:t>
      </w:r>
      <w:r>
        <w:rPr>
          <w:lang w:val="en-US"/>
        </w:rPr>
        <w:t>Department of Chemistry, Carleton University, Ottawa, Ontario K1S5B6, Canada</w:t>
      </w:r>
    </w:p>
    <w:p w14:paraId="01D067F8" w14:textId="77777777" w:rsidR="008B300C" w:rsidRPr="00256C71" w:rsidRDefault="008B300C" w:rsidP="008B300C">
      <w:pPr>
        <w:spacing w:line="480" w:lineRule="auto"/>
        <w:jc w:val="center"/>
        <w:rPr>
          <w:lang w:val="en-US"/>
        </w:rPr>
      </w:pPr>
    </w:p>
    <w:p w14:paraId="24DF0040" w14:textId="036A294D" w:rsidR="006A4A17" w:rsidRPr="00E40858" w:rsidRDefault="006A4A17" w:rsidP="008B300C">
      <w:pPr>
        <w:pStyle w:val="Lijstalinea"/>
        <w:spacing w:line="480" w:lineRule="auto"/>
        <w:ind w:left="360"/>
        <w:contextualSpacing w:val="0"/>
        <w:jc w:val="center"/>
        <w:rPr>
          <w:rFonts w:cs="Times New Roman"/>
          <w:szCs w:val="44"/>
          <w:lang w:eastAsia="ja-JP"/>
        </w:rPr>
      </w:pPr>
      <w:r w:rsidRPr="00E40858">
        <w:rPr>
          <w:rFonts w:cs="Times New Roman"/>
          <w:szCs w:val="44"/>
          <w:vertAlign w:val="superscript"/>
          <w:lang w:eastAsia="ja-JP"/>
        </w:rPr>
        <w:t xml:space="preserve">3 </w:t>
      </w:r>
      <w:r w:rsidR="00072EDC" w:rsidRPr="00072EDC">
        <w:rPr>
          <w:rFonts w:cs="Times New Roman"/>
          <w:szCs w:val="44"/>
          <w:lang w:eastAsia="ja-JP"/>
        </w:rPr>
        <w:t>Institute for Materials Chemistry and Engineering and IRCCS, Kyushu University, Nishi-ku, Fukuoka 819-0395, Japan</w:t>
      </w:r>
    </w:p>
    <w:p w14:paraId="1A195DC3" w14:textId="77777777" w:rsidR="006A4A17" w:rsidRDefault="006A4A17" w:rsidP="006A4A17">
      <w:pPr>
        <w:rPr>
          <w:lang w:val="en-GB"/>
        </w:rPr>
      </w:pPr>
    </w:p>
    <w:p w14:paraId="5A2EB264" w14:textId="77777777" w:rsidR="006A4A17" w:rsidRDefault="006A4A17" w:rsidP="006A4A17">
      <w:pPr>
        <w:rPr>
          <w:b/>
          <w:bCs/>
          <w:lang w:val="en-GB"/>
        </w:rPr>
      </w:pPr>
      <w:r>
        <w:rPr>
          <w:b/>
          <w:bCs/>
          <w:lang w:val="en-GB"/>
        </w:rPr>
        <w:t>ABSTRACT</w:t>
      </w:r>
    </w:p>
    <w:p w14:paraId="4C7E9B24" w14:textId="77777777" w:rsidR="006A4A17" w:rsidRDefault="006A4A17" w:rsidP="006A4A17">
      <w:pPr>
        <w:rPr>
          <w:b/>
          <w:bCs/>
          <w:lang w:val="en-GB"/>
        </w:rPr>
      </w:pPr>
    </w:p>
    <w:p w14:paraId="53E0D646" w14:textId="7BE577A6" w:rsidR="006A4A17" w:rsidRPr="00476C44" w:rsidRDefault="00F524EA" w:rsidP="002E089A">
      <w:pPr>
        <w:spacing w:line="480" w:lineRule="auto"/>
        <w:jc w:val="both"/>
        <w:rPr>
          <w:lang w:val="en-US"/>
        </w:rPr>
      </w:pPr>
      <w:r>
        <w:rPr>
          <w:lang w:val="en-GB"/>
        </w:rPr>
        <w:t xml:space="preserve">In recent years, a considerable interest has grown in the design of molecular nanowires with an increasing conductance with length. </w:t>
      </w:r>
      <w:r w:rsidR="00A22FB2">
        <w:rPr>
          <w:lang w:val="en-GB"/>
        </w:rPr>
        <w:t xml:space="preserve">The development of such </w:t>
      </w:r>
      <w:r w:rsidR="00383B7A">
        <w:rPr>
          <w:lang w:val="en-GB"/>
        </w:rPr>
        <w:t>nano</w:t>
      </w:r>
      <w:r w:rsidR="00A22FB2">
        <w:rPr>
          <w:lang w:val="en-GB"/>
        </w:rPr>
        <w:t xml:space="preserve">wires is highly desirable since they could play an important role in future molecular-scale circuitry. Whereas the first experimental observation of this non-classical behaviour still has to be realized, a growing number of candidate wires have been proposed theoretically. </w:t>
      </w:r>
      <w:r w:rsidR="00A22FB2">
        <w:rPr>
          <w:lang w:val="en-US"/>
        </w:rPr>
        <w:t xml:space="preserve">In this </w:t>
      </w:r>
      <w:r w:rsidR="002E089A">
        <w:rPr>
          <w:lang w:val="en-US"/>
        </w:rPr>
        <w:t>L</w:t>
      </w:r>
      <w:r w:rsidR="00383B7A">
        <w:rPr>
          <w:lang w:val="en-US"/>
        </w:rPr>
        <w:t>etter</w:t>
      </w:r>
      <w:r w:rsidR="00A22FB2">
        <w:rPr>
          <w:lang w:val="en-US"/>
        </w:rPr>
        <w:t xml:space="preserve">, we </w:t>
      </w:r>
      <w:r w:rsidR="00C4733B">
        <w:rPr>
          <w:lang w:val="en-US"/>
        </w:rPr>
        <w:t>point out</w:t>
      </w:r>
      <w:r w:rsidR="00A22FB2">
        <w:rPr>
          <w:lang w:val="en-US"/>
        </w:rPr>
        <w:t xml:space="preserve"> that all the wires with </w:t>
      </w:r>
      <w:r w:rsidR="001371E8">
        <w:rPr>
          <w:lang w:val="en-US"/>
        </w:rPr>
        <w:t>an</w:t>
      </w:r>
      <w:r w:rsidR="00EF2B46">
        <w:rPr>
          <w:lang w:val="en-US"/>
        </w:rPr>
        <w:t xml:space="preserve"> anti-Ohmic </w:t>
      </w:r>
      <w:r w:rsidR="00A22FB2">
        <w:rPr>
          <w:lang w:val="en-US"/>
        </w:rPr>
        <w:t xml:space="preserve">increasing conductance with length proposed so far share a common characteristic: their diradical character increases with length. The </w:t>
      </w:r>
      <w:r w:rsidR="00383B7A">
        <w:rPr>
          <w:lang w:val="en-US"/>
        </w:rPr>
        <w:t xml:space="preserve">conceptual connection </w:t>
      </w:r>
      <w:r w:rsidR="00143CDC">
        <w:rPr>
          <w:lang w:val="en-US"/>
        </w:rPr>
        <w:t xml:space="preserve">between diradical character and conductance </w:t>
      </w:r>
      <w:r w:rsidR="00A22FB2">
        <w:rPr>
          <w:lang w:val="en-US"/>
        </w:rPr>
        <w:t xml:space="preserve">enables a systematic design of </w:t>
      </w:r>
      <w:r w:rsidR="00EF2B46">
        <w:rPr>
          <w:lang w:val="en-US"/>
        </w:rPr>
        <w:t xml:space="preserve">such anti-Ohmic </w:t>
      </w:r>
      <w:r w:rsidR="00A22FB2">
        <w:rPr>
          <w:lang w:val="en-US"/>
        </w:rPr>
        <w:t>wires</w:t>
      </w:r>
      <w:r w:rsidR="0069519F">
        <w:rPr>
          <w:lang w:val="en-US"/>
        </w:rPr>
        <w:t xml:space="preserve"> and </w:t>
      </w:r>
      <w:r w:rsidR="001755F3">
        <w:rPr>
          <w:lang w:val="en-US"/>
        </w:rPr>
        <w:t xml:space="preserve">explains the difficulty in </w:t>
      </w:r>
      <w:r w:rsidR="0069519F">
        <w:rPr>
          <w:lang w:val="en-US"/>
        </w:rPr>
        <w:t>their syntheses</w:t>
      </w:r>
      <w:r w:rsidR="00A22FB2">
        <w:rPr>
          <w:lang w:val="en-US"/>
        </w:rPr>
        <w:t xml:space="preserve">. </w:t>
      </w:r>
      <w:r w:rsidR="00FD4EFF">
        <w:rPr>
          <w:lang w:val="en-US"/>
        </w:rPr>
        <w:t>A strategy is proposed to balance</w:t>
      </w:r>
      <w:r w:rsidR="00A22FB2">
        <w:rPr>
          <w:lang w:val="en-US"/>
        </w:rPr>
        <w:t xml:space="preserve"> </w:t>
      </w:r>
      <w:r w:rsidR="00FD4EFF">
        <w:rPr>
          <w:lang w:val="en-US"/>
        </w:rPr>
        <w:t xml:space="preserve">the </w:t>
      </w:r>
      <w:r w:rsidR="00A22FB2">
        <w:rPr>
          <w:lang w:val="en-US"/>
        </w:rPr>
        <w:t>stability and conductance</w:t>
      </w:r>
      <w:r w:rsidR="00FD4EFF">
        <w:rPr>
          <w:lang w:val="en-US"/>
        </w:rPr>
        <w:t xml:space="preserve">, so that </w:t>
      </w:r>
      <w:r w:rsidR="00203E77">
        <w:rPr>
          <w:lang w:val="en-US"/>
        </w:rPr>
        <w:t>this non-classical</w:t>
      </w:r>
      <w:r w:rsidR="00FD4EFF">
        <w:rPr>
          <w:lang w:val="en-US"/>
        </w:rPr>
        <w:t xml:space="preserve"> phenomenon can be </w:t>
      </w:r>
      <w:r w:rsidR="00D6218E">
        <w:rPr>
          <w:lang w:val="en-US"/>
        </w:rPr>
        <w:t>observed</w:t>
      </w:r>
      <w:r w:rsidR="000C2128">
        <w:rPr>
          <w:lang w:val="en-US"/>
        </w:rPr>
        <w:t>.</w:t>
      </w:r>
      <w:r w:rsidR="00A22FB2">
        <w:rPr>
          <w:lang w:val="en-US"/>
        </w:rPr>
        <w:t xml:space="preserve"> </w:t>
      </w:r>
    </w:p>
    <w:p w14:paraId="73891D6F" w14:textId="57B85734" w:rsidR="00A31210" w:rsidRDefault="001E0B08" w:rsidP="00711AE1">
      <w:pPr>
        <w:spacing w:line="480" w:lineRule="auto"/>
        <w:ind w:firstLine="708"/>
        <w:jc w:val="both"/>
        <w:rPr>
          <w:lang w:val="en-US"/>
        </w:rPr>
      </w:pPr>
      <w:r>
        <w:rPr>
          <w:lang w:val="en-GB"/>
        </w:rPr>
        <w:lastRenderedPageBreak/>
        <w:t>Conventional</w:t>
      </w:r>
      <w:r w:rsidR="00744B56">
        <w:rPr>
          <w:lang w:val="en-GB"/>
        </w:rPr>
        <w:t xml:space="preserve"> m</w:t>
      </w:r>
      <w:r w:rsidR="00065029">
        <w:rPr>
          <w:lang w:val="en-GB"/>
        </w:rPr>
        <w:t>olecular nanowires act as tunnelling barriers</w:t>
      </w:r>
      <w:r w:rsidR="006E7470">
        <w:rPr>
          <w:lang w:val="en-GB"/>
        </w:rPr>
        <w:t>.</w:t>
      </w:r>
      <w:r w:rsidR="00065029">
        <w:rPr>
          <w:lang w:val="en-GB"/>
        </w:rPr>
        <w:t xml:space="preserve"> </w:t>
      </w:r>
      <w:r w:rsidR="006E7470">
        <w:rPr>
          <w:lang w:val="en-GB"/>
        </w:rPr>
        <w:t xml:space="preserve">Their </w:t>
      </w:r>
      <w:r w:rsidR="00065029">
        <w:rPr>
          <w:lang w:val="en-GB"/>
        </w:rPr>
        <w:t xml:space="preserve">conductance </w:t>
      </w:r>
      <w:r w:rsidR="00065029">
        <w:rPr>
          <w:i/>
          <w:iCs/>
          <w:lang w:val="en-GB"/>
        </w:rPr>
        <w:t>G</w:t>
      </w:r>
      <w:r w:rsidR="00065029">
        <w:rPr>
          <w:lang w:val="en-GB"/>
        </w:rPr>
        <w:t xml:space="preserve"> decays exponentially as the</w:t>
      </w:r>
      <w:r w:rsidR="006E7470">
        <w:rPr>
          <w:lang w:val="en-GB"/>
        </w:rPr>
        <w:t>ir</w:t>
      </w:r>
      <w:r w:rsidR="00065029">
        <w:rPr>
          <w:lang w:val="en-GB"/>
        </w:rPr>
        <w:t xml:space="preserve"> length </w:t>
      </w:r>
      <w:r w:rsidR="00065029">
        <w:rPr>
          <w:i/>
          <w:iCs/>
          <w:lang w:val="en-GB"/>
        </w:rPr>
        <w:t>L</w:t>
      </w:r>
      <w:r w:rsidR="00065029">
        <w:rPr>
          <w:lang w:val="en-GB"/>
        </w:rPr>
        <w:t xml:space="preserve"> increases</w:t>
      </w:r>
      <w:r w:rsidR="006E7470">
        <w:rPr>
          <w:lang w:val="en-GB"/>
        </w:rPr>
        <w:t>:</w:t>
      </w:r>
      <w:r w:rsidR="00065029">
        <w:rPr>
          <w:lang w:val="en-GB"/>
        </w:rPr>
        <w:t xml:space="preserve"> </w:t>
      </w:r>
      <m:oMath>
        <m:r>
          <w:rPr>
            <w:rFonts w:ascii="Cambria Math" w:hAnsi="Cambria Math"/>
            <w:lang w:val="en-GB"/>
          </w:rPr>
          <m:t>G=A</m:t>
        </m:r>
        <m:sSup>
          <m:sSupPr>
            <m:ctrlPr>
              <w:rPr>
                <w:rFonts w:ascii="Cambria Math" w:hAnsi="Cambria Math"/>
                <w:i/>
                <w:lang w:val="en-GB"/>
              </w:rPr>
            </m:ctrlPr>
          </m:sSupPr>
          <m:e>
            <m:r>
              <w:rPr>
                <w:rFonts w:ascii="Cambria Math" w:hAnsi="Cambria Math"/>
                <w:lang w:val="en-GB"/>
              </w:rPr>
              <m:t>e</m:t>
            </m:r>
          </m:e>
          <m:sup>
            <m:r>
              <w:rPr>
                <w:rFonts w:ascii="Cambria Math" w:hAnsi="Cambria Math"/>
                <w:lang w:val="en-GB"/>
              </w:rPr>
              <m:t>-βL</m:t>
            </m:r>
          </m:sup>
        </m:sSup>
      </m:oMath>
      <w:r w:rsidR="00744B56">
        <w:rPr>
          <w:lang w:val="en-GB"/>
        </w:rPr>
        <w:t xml:space="preserve">, where A is a prefactor and </w:t>
      </w:r>
      <m:oMath>
        <m:r>
          <w:rPr>
            <w:rFonts w:ascii="Cambria Math" w:hAnsi="Cambria Math"/>
            <w:lang w:val="en-GB"/>
          </w:rPr>
          <m:t>β</m:t>
        </m:r>
      </m:oMath>
      <w:r w:rsidR="00744B56">
        <w:rPr>
          <w:lang w:val="en-GB"/>
        </w:rPr>
        <w:t xml:space="preserve"> is the decay/attenuation factor.</w:t>
      </w:r>
      <w:r w:rsidR="002564CC">
        <w:rPr>
          <w:lang w:val="en-GB"/>
        </w:rPr>
        <w:t xml:space="preserve"> This decay corresponds to</w:t>
      </w:r>
      <w:r w:rsidR="000B1A4D">
        <w:rPr>
          <w:lang w:val="en-GB"/>
        </w:rPr>
        <w:t xml:space="preserve"> </w:t>
      </w:r>
      <w:r w:rsidR="00FE598C">
        <w:rPr>
          <w:lang w:val="en-GB"/>
        </w:rPr>
        <w:t>classical Ohmic behaviour.</w:t>
      </w:r>
      <w:r w:rsidR="002564CC">
        <w:rPr>
          <w:rStyle w:val="Eindnootmarkering"/>
          <w:lang w:val="en-GB"/>
        </w:rPr>
        <w:endnoteReference w:id="1"/>
      </w:r>
      <w:r w:rsidR="00065029">
        <w:rPr>
          <w:lang w:val="en-GB"/>
        </w:rPr>
        <w:t xml:space="preserve"> </w:t>
      </w:r>
      <w:r w:rsidR="00F524EA">
        <w:rPr>
          <w:lang w:val="en-GB"/>
        </w:rPr>
        <w:t>In recent years, a considerable interest has grown in the design of molecular nanowires with an increasing conductance with length</w:t>
      </w:r>
      <w:r w:rsidR="002E089A">
        <w:rPr>
          <w:lang w:val="en-GB"/>
        </w:rPr>
        <w:t>, i.</w:t>
      </w:r>
      <w:r w:rsidR="00744B56">
        <w:rPr>
          <w:lang w:val="en-GB"/>
        </w:rPr>
        <w:t>e. a negative</w:t>
      </w:r>
      <m:oMath>
        <m:r>
          <w:rPr>
            <w:rFonts w:ascii="Cambria Math" w:hAnsi="Cambria Math"/>
            <w:lang w:val="en-GB"/>
          </w:rPr>
          <m:t xml:space="preserve"> β</m:t>
        </m:r>
      </m:oMath>
      <w:r w:rsidR="00F524EA">
        <w:rPr>
          <w:lang w:val="en-GB"/>
        </w:rPr>
        <w:t>.</w:t>
      </w:r>
      <w:bookmarkStart w:id="0" w:name="_Ref521937347"/>
      <w:r w:rsidR="008403B7" w:rsidRPr="000C1473">
        <w:rPr>
          <w:rStyle w:val="Eindnootmarkering"/>
          <w:lang w:val="en-US"/>
        </w:rPr>
        <w:endnoteReference w:id="2"/>
      </w:r>
      <w:bookmarkEnd w:id="0"/>
      <w:r w:rsidR="008403B7" w:rsidRPr="000C1473">
        <w:rPr>
          <w:vertAlign w:val="superscript"/>
          <w:lang w:val="en-US"/>
        </w:rPr>
        <w:t>,</w:t>
      </w:r>
      <w:bookmarkStart w:id="1" w:name="_Ref521937418"/>
      <w:r w:rsidR="008403B7" w:rsidRPr="000C1473">
        <w:rPr>
          <w:rStyle w:val="Eindnootmarkering"/>
          <w:lang w:val="en-US"/>
        </w:rPr>
        <w:endnoteReference w:id="3"/>
      </w:r>
      <w:bookmarkEnd w:id="1"/>
      <w:r w:rsidR="008403B7" w:rsidRPr="000C1473">
        <w:rPr>
          <w:vertAlign w:val="superscript"/>
          <w:lang w:val="en-US"/>
        </w:rPr>
        <w:t>,</w:t>
      </w:r>
      <w:bookmarkStart w:id="2" w:name="_Ref521937360"/>
      <w:r w:rsidR="00284AA7" w:rsidRPr="000C1473">
        <w:rPr>
          <w:rStyle w:val="Eindnootmarkering"/>
          <w:lang w:val="en-US"/>
        </w:rPr>
        <w:endnoteReference w:id="4"/>
      </w:r>
      <w:bookmarkEnd w:id="2"/>
      <w:r w:rsidR="00284AA7" w:rsidRPr="000C1473">
        <w:rPr>
          <w:vertAlign w:val="superscript"/>
          <w:lang w:val="en-US"/>
        </w:rPr>
        <w:t>,</w:t>
      </w:r>
      <w:bookmarkStart w:id="3" w:name="_Ref521937421"/>
      <w:r w:rsidR="008403B7" w:rsidRPr="000C1473">
        <w:rPr>
          <w:rStyle w:val="Eindnootmarkering"/>
          <w:lang w:val="en-US"/>
        </w:rPr>
        <w:endnoteReference w:id="5"/>
      </w:r>
      <w:bookmarkEnd w:id="3"/>
      <w:r w:rsidR="008403B7" w:rsidRPr="000C1473">
        <w:rPr>
          <w:vertAlign w:val="superscript"/>
          <w:lang w:val="en-US"/>
        </w:rPr>
        <w:t>,</w:t>
      </w:r>
      <w:bookmarkStart w:id="4" w:name="_Ref521937444"/>
      <w:r w:rsidR="008403B7" w:rsidRPr="000C1473">
        <w:rPr>
          <w:rStyle w:val="Eindnootmarkering"/>
          <w:lang w:val="en-US"/>
        </w:rPr>
        <w:endnoteReference w:id="6"/>
      </w:r>
      <w:bookmarkEnd w:id="4"/>
      <w:r w:rsidR="008403B7" w:rsidRPr="000C1473">
        <w:rPr>
          <w:vertAlign w:val="superscript"/>
          <w:lang w:val="en-US"/>
        </w:rPr>
        <w:t>,</w:t>
      </w:r>
      <w:r w:rsidR="008403B7" w:rsidRPr="000C1473">
        <w:rPr>
          <w:rStyle w:val="Eindnootmarkering"/>
          <w:lang w:val="en-US"/>
        </w:rPr>
        <w:endnoteReference w:id="7"/>
      </w:r>
      <w:r w:rsidR="008403B7" w:rsidRPr="000C1473">
        <w:rPr>
          <w:vertAlign w:val="superscript"/>
          <w:lang w:val="en-US"/>
        </w:rPr>
        <w:t>,</w:t>
      </w:r>
      <w:bookmarkStart w:id="5" w:name="_Ref521937820"/>
      <w:r w:rsidR="008403B7" w:rsidRPr="000C1473">
        <w:rPr>
          <w:rStyle w:val="Eindnootmarkering"/>
          <w:lang w:val="en-US"/>
        </w:rPr>
        <w:endnoteReference w:id="8"/>
      </w:r>
      <w:bookmarkEnd w:id="5"/>
      <w:r w:rsidR="008403B7" w:rsidRPr="000C1473">
        <w:rPr>
          <w:vertAlign w:val="superscript"/>
          <w:lang w:val="en-US"/>
        </w:rPr>
        <w:t>,</w:t>
      </w:r>
      <w:bookmarkStart w:id="6" w:name="_Ref521937644"/>
      <w:r w:rsidR="008403B7" w:rsidRPr="000C1473">
        <w:rPr>
          <w:rStyle w:val="Eindnootmarkering"/>
          <w:lang w:val="en-US"/>
        </w:rPr>
        <w:endnoteReference w:id="9"/>
      </w:r>
      <w:bookmarkEnd w:id="6"/>
      <w:r w:rsidR="008403B7" w:rsidRPr="000C1473">
        <w:rPr>
          <w:vertAlign w:val="superscript"/>
          <w:lang w:val="en-US"/>
        </w:rPr>
        <w:t>,</w:t>
      </w:r>
      <w:r w:rsidR="008403B7" w:rsidRPr="000C1473">
        <w:rPr>
          <w:rStyle w:val="Eindnootmarkering"/>
          <w:lang w:val="en-US"/>
        </w:rPr>
        <w:t xml:space="preserve"> </w:t>
      </w:r>
      <w:r w:rsidR="008403B7" w:rsidRPr="000C1473">
        <w:rPr>
          <w:rStyle w:val="Eindnootmarkering"/>
          <w:lang w:val="en-US"/>
        </w:rPr>
        <w:endnoteReference w:id="10"/>
      </w:r>
      <w:r w:rsidR="008403B7" w:rsidRPr="000C1473">
        <w:rPr>
          <w:vertAlign w:val="superscript"/>
          <w:lang w:val="en-US"/>
        </w:rPr>
        <w:t>,</w:t>
      </w:r>
      <w:bookmarkStart w:id="7" w:name="_Ref521937659"/>
      <w:r w:rsidR="008403B7" w:rsidRPr="000C1473">
        <w:rPr>
          <w:rStyle w:val="Eindnootmarkering"/>
          <w:lang w:val="en-US"/>
        </w:rPr>
        <w:endnoteReference w:id="11"/>
      </w:r>
      <w:bookmarkEnd w:id="7"/>
      <w:r w:rsidR="000C1473">
        <w:rPr>
          <w:vertAlign w:val="superscript"/>
          <w:lang w:val="en-US"/>
        </w:rPr>
        <w:t>,</w:t>
      </w:r>
      <w:bookmarkStart w:id="8" w:name="_Ref521937635"/>
      <w:r w:rsidR="000C1473">
        <w:rPr>
          <w:rStyle w:val="Eindnootmarkering"/>
          <w:lang w:val="en-US"/>
        </w:rPr>
        <w:endnoteReference w:id="12"/>
      </w:r>
      <w:bookmarkEnd w:id="8"/>
      <w:r w:rsidR="00F524EA" w:rsidRPr="000C1473">
        <w:rPr>
          <w:vertAlign w:val="superscript"/>
          <w:lang w:val="en-GB"/>
        </w:rPr>
        <w:t xml:space="preserve"> </w:t>
      </w:r>
      <w:r w:rsidR="007C178E">
        <w:rPr>
          <w:lang w:val="en-GB"/>
        </w:rPr>
        <w:t>S</w:t>
      </w:r>
      <w:r w:rsidR="006A4A17">
        <w:rPr>
          <w:lang w:val="en-GB"/>
        </w:rPr>
        <w:t xml:space="preserve">uch </w:t>
      </w:r>
      <w:r w:rsidR="00573E67">
        <w:rPr>
          <w:lang w:val="en-GB"/>
        </w:rPr>
        <w:t xml:space="preserve">anti-Ohmic </w:t>
      </w:r>
      <w:r w:rsidR="006A4A17">
        <w:rPr>
          <w:lang w:val="en-GB"/>
        </w:rPr>
        <w:t xml:space="preserve">molecular wires </w:t>
      </w:r>
      <w:r w:rsidR="00573E67">
        <w:rPr>
          <w:lang w:val="en-GB"/>
        </w:rPr>
        <w:t xml:space="preserve">are </w:t>
      </w:r>
      <w:r w:rsidR="006A4A17">
        <w:rPr>
          <w:lang w:val="en-GB"/>
        </w:rPr>
        <w:t>highly desirable since they could play an important role in future molecular-scale circuitry.</w:t>
      </w:r>
      <w:r w:rsidR="000514E6" w:rsidRPr="000514E6">
        <w:rPr>
          <w:vertAlign w:val="superscript"/>
          <w:lang w:val="en-GB"/>
        </w:rPr>
        <w:fldChar w:fldCharType="begin"/>
      </w:r>
      <w:r w:rsidR="000514E6" w:rsidRPr="000514E6">
        <w:rPr>
          <w:vertAlign w:val="superscript"/>
          <w:lang w:val="en-GB"/>
        </w:rPr>
        <w:instrText xml:space="preserve"> NOTEREF _Ref521937659 \h </w:instrText>
      </w:r>
      <w:r w:rsidR="000514E6">
        <w:rPr>
          <w:vertAlign w:val="superscript"/>
          <w:lang w:val="en-GB"/>
        </w:rPr>
        <w:instrText xml:space="preserve"> \* MERGEFORMAT </w:instrText>
      </w:r>
      <w:r w:rsidR="000514E6" w:rsidRPr="000514E6">
        <w:rPr>
          <w:vertAlign w:val="superscript"/>
          <w:lang w:val="en-GB"/>
        </w:rPr>
      </w:r>
      <w:r w:rsidR="000514E6" w:rsidRPr="000514E6">
        <w:rPr>
          <w:vertAlign w:val="superscript"/>
          <w:lang w:val="en-GB"/>
        </w:rPr>
        <w:fldChar w:fldCharType="separate"/>
      </w:r>
      <w:r w:rsidR="005E3C6C">
        <w:rPr>
          <w:vertAlign w:val="superscript"/>
          <w:lang w:val="en-GB"/>
        </w:rPr>
        <w:t>11</w:t>
      </w:r>
      <w:r w:rsidR="000514E6" w:rsidRPr="000514E6">
        <w:rPr>
          <w:vertAlign w:val="superscript"/>
          <w:lang w:val="en-GB"/>
        </w:rPr>
        <w:fldChar w:fldCharType="end"/>
      </w:r>
      <w:r w:rsidR="006A4A17">
        <w:rPr>
          <w:lang w:val="en-GB"/>
        </w:rPr>
        <w:t xml:space="preserve"> Whereas the first experimental observation of this </w:t>
      </w:r>
      <w:r w:rsidR="009D2696">
        <w:rPr>
          <w:lang w:val="en-GB"/>
        </w:rPr>
        <w:t xml:space="preserve">non-classical </w:t>
      </w:r>
      <w:r w:rsidR="006A4A17">
        <w:rPr>
          <w:lang w:val="en-GB"/>
        </w:rPr>
        <w:t xml:space="preserve">behaviour still has to be realized, a growing number of candidate wires have been proposed theoretically. </w:t>
      </w:r>
      <w:r w:rsidR="00F524EA">
        <w:rPr>
          <w:lang w:val="en-GB"/>
        </w:rPr>
        <w:t>The s</w:t>
      </w:r>
      <w:r w:rsidR="006A4A17">
        <w:rPr>
          <w:lang w:val="en-GB"/>
        </w:rPr>
        <w:t>o-called “reverse-exponential</w:t>
      </w:r>
      <w:r w:rsidR="00F524EA">
        <w:rPr>
          <w:lang w:val="en-GB"/>
        </w:rPr>
        <w:t xml:space="preserve"> decay” of molecular conductance</w:t>
      </w:r>
      <w:r w:rsidR="008C1E65">
        <w:rPr>
          <w:lang w:val="en-GB"/>
        </w:rPr>
        <w:t xml:space="preserve"> </w:t>
      </w:r>
      <w:r w:rsidR="006A4A17">
        <w:rPr>
          <w:lang w:val="en-GB"/>
        </w:rPr>
        <w:t>was first reported by Yoshizawa and Tada for nanographenes;</w:t>
      </w:r>
      <w:r w:rsidR="000C1473" w:rsidRPr="000C1473">
        <w:rPr>
          <w:vertAlign w:val="superscript"/>
          <w:lang w:val="en-GB"/>
        </w:rPr>
        <w:fldChar w:fldCharType="begin"/>
      </w:r>
      <w:r w:rsidR="000C1473" w:rsidRPr="000C1473">
        <w:rPr>
          <w:vertAlign w:val="superscript"/>
          <w:lang w:val="en-GB"/>
        </w:rPr>
        <w:instrText xml:space="preserve"> NOTEREF _Ref521937347 \h </w:instrText>
      </w:r>
      <w:r w:rsidR="000C1473">
        <w:rPr>
          <w:vertAlign w:val="superscript"/>
          <w:lang w:val="en-GB"/>
        </w:rPr>
        <w:instrText xml:space="preserve"> \* MERGEFORMAT </w:instrText>
      </w:r>
      <w:r w:rsidR="000C1473" w:rsidRPr="000C1473">
        <w:rPr>
          <w:vertAlign w:val="superscript"/>
          <w:lang w:val="en-GB"/>
        </w:rPr>
      </w:r>
      <w:r w:rsidR="000C1473" w:rsidRPr="000C1473">
        <w:rPr>
          <w:vertAlign w:val="superscript"/>
          <w:lang w:val="en-GB"/>
        </w:rPr>
        <w:fldChar w:fldCharType="separate"/>
      </w:r>
      <w:r w:rsidR="005E3C6C">
        <w:rPr>
          <w:vertAlign w:val="superscript"/>
          <w:lang w:val="en-GB"/>
        </w:rPr>
        <w:t>2</w:t>
      </w:r>
      <w:r w:rsidR="000C1473" w:rsidRPr="000C1473">
        <w:rPr>
          <w:vertAlign w:val="superscript"/>
          <w:lang w:val="en-GB"/>
        </w:rPr>
        <w:fldChar w:fldCharType="end"/>
      </w:r>
      <w:r w:rsidR="006A4A17">
        <w:rPr>
          <w:lang w:val="en-GB"/>
        </w:rPr>
        <w:t xml:space="preserve"> these results were later on corroborated by </w:t>
      </w:r>
      <w:r w:rsidR="000C1473">
        <w:rPr>
          <w:lang w:val="en-GB"/>
        </w:rPr>
        <w:t>Li</w:t>
      </w:r>
      <w:r w:rsidR="006A4A17">
        <w:rPr>
          <w:lang w:val="en-GB"/>
        </w:rPr>
        <w:t xml:space="preserve"> </w:t>
      </w:r>
      <w:r w:rsidR="006A4A17" w:rsidRPr="00440CCC">
        <w:rPr>
          <w:i/>
          <w:iCs/>
          <w:lang w:val="en-GB"/>
        </w:rPr>
        <w:t>et al</w:t>
      </w:r>
      <w:r w:rsidR="006A4A17">
        <w:rPr>
          <w:lang w:val="en-GB"/>
        </w:rPr>
        <w:t>.</w:t>
      </w:r>
      <w:r w:rsidR="000C1473" w:rsidRPr="000C1473">
        <w:rPr>
          <w:vertAlign w:val="superscript"/>
          <w:lang w:val="en-GB"/>
        </w:rPr>
        <w:fldChar w:fldCharType="begin"/>
      </w:r>
      <w:r w:rsidR="000C1473" w:rsidRPr="000C1473">
        <w:rPr>
          <w:vertAlign w:val="superscript"/>
          <w:lang w:val="en-GB"/>
        </w:rPr>
        <w:instrText xml:space="preserve"> NOTEREF _Ref521937360 \h </w:instrText>
      </w:r>
      <w:r w:rsidR="000C1473">
        <w:rPr>
          <w:vertAlign w:val="superscript"/>
          <w:lang w:val="en-GB"/>
        </w:rPr>
        <w:instrText xml:space="preserve"> \* MERGEFORMAT </w:instrText>
      </w:r>
      <w:r w:rsidR="000C1473" w:rsidRPr="000C1473">
        <w:rPr>
          <w:vertAlign w:val="superscript"/>
          <w:lang w:val="en-GB"/>
        </w:rPr>
      </w:r>
      <w:r w:rsidR="000C1473" w:rsidRPr="000C1473">
        <w:rPr>
          <w:vertAlign w:val="superscript"/>
          <w:lang w:val="en-GB"/>
        </w:rPr>
        <w:fldChar w:fldCharType="separate"/>
      </w:r>
      <w:r w:rsidR="005E3C6C">
        <w:rPr>
          <w:vertAlign w:val="superscript"/>
          <w:lang w:val="en-GB"/>
        </w:rPr>
        <w:t>4</w:t>
      </w:r>
      <w:r w:rsidR="000C1473" w:rsidRPr="000C1473">
        <w:rPr>
          <w:vertAlign w:val="superscript"/>
          <w:lang w:val="en-GB"/>
        </w:rPr>
        <w:fldChar w:fldCharType="end"/>
      </w:r>
      <w:r w:rsidR="006A4A17">
        <w:rPr>
          <w:lang w:val="en-GB"/>
        </w:rPr>
        <w:t xml:space="preserve"> Mandado </w:t>
      </w:r>
      <w:r w:rsidR="009D2696">
        <w:rPr>
          <w:lang w:val="en-GB"/>
        </w:rPr>
        <w:t>and his co-workers</w:t>
      </w:r>
      <w:r w:rsidR="006A4A17">
        <w:rPr>
          <w:lang w:val="en-GB"/>
        </w:rPr>
        <w:t xml:space="preserve"> described a similar </w:t>
      </w:r>
      <w:r w:rsidR="00027F97">
        <w:rPr>
          <w:lang w:val="en-GB"/>
        </w:rPr>
        <w:t>reverse exponential decay</w:t>
      </w:r>
      <w:r w:rsidR="00092DEB">
        <w:rPr>
          <w:lang w:val="en-GB"/>
        </w:rPr>
        <w:t xml:space="preserve"> of the conductance</w:t>
      </w:r>
      <w:r w:rsidR="006A4A17">
        <w:rPr>
          <w:lang w:val="en-GB"/>
        </w:rPr>
        <w:t xml:space="preserve"> </w:t>
      </w:r>
      <w:r w:rsidR="009D2696">
        <w:rPr>
          <w:lang w:val="en-GB"/>
        </w:rPr>
        <w:t>in quinoid wires.</w:t>
      </w:r>
      <w:r w:rsidR="000C1473" w:rsidRPr="000C1473">
        <w:rPr>
          <w:vertAlign w:val="superscript"/>
          <w:lang w:val="en-GB"/>
        </w:rPr>
        <w:fldChar w:fldCharType="begin"/>
      </w:r>
      <w:r w:rsidR="000C1473" w:rsidRPr="000C1473">
        <w:rPr>
          <w:vertAlign w:val="superscript"/>
          <w:lang w:val="en-GB"/>
        </w:rPr>
        <w:instrText xml:space="preserve"> NOTEREF _Ref521937418 \h </w:instrText>
      </w:r>
      <w:r w:rsidR="000C1473">
        <w:rPr>
          <w:vertAlign w:val="superscript"/>
          <w:lang w:val="en-GB"/>
        </w:rPr>
        <w:instrText xml:space="preserve"> \* MERGEFORMAT </w:instrText>
      </w:r>
      <w:r w:rsidR="000C1473" w:rsidRPr="000C1473">
        <w:rPr>
          <w:vertAlign w:val="superscript"/>
          <w:lang w:val="en-GB"/>
        </w:rPr>
      </w:r>
      <w:r w:rsidR="000C1473" w:rsidRPr="000C1473">
        <w:rPr>
          <w:vertAlign w:val="superscript"/>
          <w:lang w:val="en-GB"/>
        </w:rPr>
        <w:fldChar w:fldCharType="separate"/>
      </w:r>
      <w:r w:rsidR="005E3C6C">
        <w:rPr>
          <w:vertAlign w:val="superscript"/>
          <w:lang w:val="en-GB"/>
        </w:rPr>
        <w:t>3</w:t>
      </w:r>
      <w:r w:rsidR="000C1473" w:rsidRPr="000C1473">
        <w:rPr>
          <w:vertAlign w:val="superscript"/>
          <w:lang w:val="en-GB"/>
        </w:rPr>
        <w:fldChar w:fldCharType="end"/>
      </w:r>
      <w:r w:rsidR="000C1473" w:rsidRPr="000C1473">
        <w:rPr>
          <w:vertAlign w:val="superscript"/>
          <w:lang w:val="en-GB"/>
        </w:rPr>
        <w:t>,</w:t>
      </w:r>
      <w:r w:rsidR="000C1473" w:rsidRPr="000C1473">
        <w:rPr>
          <w:vertAlign w:val="superscript"/>
          <w:lang w:val="en-GB"/>
        </w:rPr>
        <w:fldChar w:fldCharType="begin"/>
      </w:r>
      <w:r w:rsidR="000C1473" w:rsidRPr="000C1473">
        <w:rPr>
          <w:vertAlign w:val="superscript"/>
          <w:lang w:val="en-GB"/>
        </w:rPr>
        <w:instrText xml:space="preserve"> NOTEREF _Ref521937421 \h </w:instrText>
      </w:r>
      <w:r w:rsidR="000C1473">
        <w:rPr>
          <w:vertAlign w:val="superscript"/>
          <w:lang w:val="en-GB"/>
        </w:rPr>
        <w:instrText xml:space="preserve"> \* MERGEFORMAT </w:instrText>
      </w:r>
      <w:r w:rsidR="000C1473" w:rsidRPr="000C1473">
        <w:rPr>
          <w:vertAlign w:val="superscript"/>
          <w:lang w:val="en-GB"/>
        </w:rPr>
      </w:r>
      <w:r w:rsidR="000C1473" w:rsidRPr="000C1473">
        <w:rPr>
          <w:vertAlign w:val="superscript"/>
          <w:lang w:val="en-GB"/>
        </w:rPr>
        <w:fldChar w:fldCharType="separate"/>
      </w:r>
      <w:r w:rsidR="005E3C6C">
        <w:rPr>
          <w:vertAlign w:val="superscript"/>
          <w:lang w:val="en-GB"/>
        </w:rPr>
        <w:t>5</w:t>
      </w:r>
      <w:r w:rsidR="000C1473" w:rsidRPr="000C1473">
        <w:rPr>
          <w:vertAlign w:val="superscript"/>
          <w:lang w:val="en-GB"/>
        </w:rPr>
        <w:fldChar w:fldCharType="end"/>
      </w:r>
      <w:r w:rsidR="009D2696">
        <w:rPr>
          <w:lang w:val="en-GB"/>
        </w:rPr>
        <w:t xml:space="preserve"> </w:t>
      </w:r>
      <w:r w:rsidR="00092DEB">
        <w:rPr>
          <w:lang w:val="en-GB"/>
        </w:rPr>
        <w:t xml:space="preserve">Later on, </w:t>
      </w:r>
      <w:r w:rsidR="006A4A17">
        <w:rPr>
          <w:lang w:val="en-GB"/>
        </w:rPr>
        <w:t>Tsuji and co-workers predicted that polyenes with reverse bond alternation patterns would also exhibit this non-classical behaviour.</w:t>
      </w:r>
      <w:r w:rsidR="000C1473" w:rsidRPr="000C1473">
        <w:rPr>
          <w:vertAlign w:val="superscript"/>
          <w:lang w:val="en-GB"/>
        </w:rPr>
        <w:fldChar w:fldCharType="begin"/>
      </w:r>
      <w:r w:rsidR="000C1473" w:rsidRPr="000C1473">
        <w:rPr>
          <w:vertAlign w:val="superscript"/>
          <w:lang w:val="en-GB"/>
        </w:rPr>
        <w:instrText xml:space="preserve"> NOTEREF _Ref521937444 \h </w:instrText>
      </w:r>
      <w:r w:rsidR="000C1473">
        <w:rPr>
          <w:vertAlign w:val="superscript"/>
          <w:lang w:val="en-GB"/>
        </w:rPr>
        <w:instrText xml:space="preserve"> \* MERGEFORMAT </w:instrText>
      </w:r>
      <w:r w:rsidR="000C1473" w:rsidRPr="000C1473">
        <w:rPr>
          <w:vertAlign w:val="superscript"/>
          <w:lang w:val="en-GB"/>
        </w:rPr>
      </w:r>
      <w:r w:rsidR="000C1473" w:rsidRPr="000C1473">
        <w:rPr>
          <w:vertAlign w:val="superscript"/>
          <w:lang w:val="en-GB"/>
        </w:rPr>
        <w:fldChar w:fldCharType="separate"/>
      </w:r>
      <w:r w:rsidR="005E3C6C">
        <w:rPr>
          <w:vertAlign w:val="superscript"/>
          <w:lang w:val="en-GB"/>
        </w:rPr>
        <w:t>6</w:t>
      </w:r>
      <w:r w:rsidR="000C1473" w:rsidRPr="000C1473">
        <w:rPr>
          <w:vertAlign w:val="superscript"/>
          <w:lang w:val="en-GB"/>
        </w:rPr>
        <w:fldChar w:fldCharType="end"/>
      </w:r>
      <w:r w:rsidR="006A4A17">
        <w:rPr>
          <w:lang w:val="en-GB"/>
        </w:rPr>
        <w:t xml:space="preserve"> This realization has</w:t>
      </w:r>
      <w:r w:rsidR="00EA188D">
        <w:rPr>
          <w:lang w:val="en-GB"/>
        </w:rPr>
        <w:t xml:space="preserve"> recently</w:t>
      </w:r>
      <w:r w:rsidR="006A4A17">
        <w:rPr>
          <w:lang w:val="en-GB"/>
        </w:rPr>
        <w:t xml:space="preserve"> led to</w:t>
      </w:r>
      <w:r w:rsidR="00EA188D">
        <w:rPr>
          <w:lang w:val="en-GB"/>
        </w:rPr>
        <w:t xml:space="preserve"> the</w:t>
      </w:r>
      <w:r w:rsidR="006A4A17">
        <w:rPr>
          <w:lang w:val="en-GB"/>
        </w:rPr>
        <w:t xml:space="preserve"> proposal of cumulenes as interesting candidates for </w:t>
      </w:r>
      <w:r w:rsidR="00B70EDB">
        <w:rPr>
          <w:lang w:val="en-GB"/>
        </w:rPr>
        <w:t xml:space="preserve">anti-Ohmic </w:t>
      </w:r>
      <w:r w:rsidR="006A4A17">
        <w:rPr>
          <w:lang w:val="en-GB"/>
        </w:rPr>
        <w:t>molecular wires</w:t>
      </w:r>
      <w:r w:rsidR="00DB46E0">
        <w:rPr>
          <w:lang w:val="en-GB"/>
        </w:rPr>
        <w:t xml:space="preserve"> </w:t>
      </w:r>
      <w:r w:rsidR="00DB46E0">
        <w:rPr>
          <w:lang w:val="en-US"/>
        </w:rPr>
        <w:t>(Fig. 1)</w:t>
      </w:r>
      <w:r w:rsidR="006A4A17">
        <w:rPr>
          <w:lang w:val="en-GB"/>
        </w:rPr>
        <w:t>.</w:t>
      </w:r>
      <w:r w:rsidR="009A7CDF" w:rsidRPr="009A7CDF">
        <w:rPr>
          <w:vertAlign w:val="superscript"/>
          <w:lang w:val="en-GB"/>
        </w:rPr>
        <w:fldChar w:fldCharType="begin"/>
      </w:r>
      <w:r w:rsidR="009A7CDF" w:rsidRPr="009A7CDF">
        <w:rPr>
          <w:vertAlign w:val="superscript"/>
          <w:lang w:val="en-GB"/>
        </w:rPr>
        <w:instrText xml:space="preserve"> NOTEREF _Ref521937635 \h </w:instrText>
      </w:r>
      <w:r w:rsidR="009A7CDF">
        <w:rPr>
          <w:vertAlign w:val="superscript"/>
          <w:lang w:val="en-GB"/>
        </w:rPr>
        <w:instrText xml:space="preserve"> \* MERGEFORMAT </w:instrText>
      </w:r>
      <w:r w:rsidR="009A7CDF" w:rsidRPr="009A7CDF">
        <w:rPr>
          <w:vertAlign w:val="superscript"/>
          <w:lang w:val="en-GB"/>
        </w:rPr>
      </w:r>
      <w:r w:rsidR="009A7CDF" w:rsidRPr="009A7CDF">
        <w:rPr>
          <w:vertAlign w:val="superscript"/>
          <w:lang w:val="en-GB"/>
        </w:rPr>
        <w:fldChar w:fldCharType="separate"/>
      </w:r>
      <w:r w:rsidR="005E3C6C">
        <w:rPr>
          <w:vertAlign w:val="superscript"/>
          <w:lang w:val="en-GB"/>
        </w:rPr>
        <w:t>12</w:t>
      </w:r>
      <w:r w:rsidR="009A7CDF" w:rsidRPr="009A7CDF">
        <w:rPr>
          <w:vertAlign w:val="superscript"/>
          <w:lang w:val="en-GB"/>
        </w:rPr>
        <w:fldChar w:fldCharType="end"/>
      </w:r>
      <w:r w:rsidR="006A4A17">
        <w:rPr>
          <w:lang w:val="en-GB"/>
        </w:rPr>
        <w:t xml:space="preserve"> Around the same time, Algethami </w:t>
      </w:r>
      <w:r w:rsidR="006A4A17" w:rsidRPr="000E6B86">
        <w:rPr>
          <w:i/>
          <w:iCs/>
          <w:lang w:val="en-GB"/>
        </w:rPr>
        <w:t>et al.</w:t>
      </w:r>
      <w:r w:rsidR="006A4A17">
        <w:rPr>
          <w:lang w:val="en-GB"/>
        </w:rPr>
        <w:t xml:space="preserve"> presented </w:t>
      </w:r>
      <w:r w:rsidR="006A4A17" w:rsidRPr="00030DA9">
        <w:rPr>
          <w:lang w:val="en-US"/>
        </w:rPr>
        <w:t xml:space="preserve">a </w:t>
      </w:r>
      <w:r w:rsidR="006A4A17">
        <w:rPr>
          <w:lang w:val="en-US"/>
        </w:rPr>
        <w:t xml:space="preserve">completely new </w:t>
      </w:r>
      <w:r w:rsidR="006A4A17" w:rsidRPr="00030DA9">
        <w:rPr>
          <w:lang w:val="en-US"/>
        </w:rPr>
        <w:t xml:space="preserve">porphyrin-based molecular nanowire which </w:t>
      </w:r>
      <w:r w:rsidR="006A4A17">
        <w:rPr>
          <w:lang w:val="en-US"/>
        </w:rPr>
        <w:t>they predicted to also become</w:t>
      </w:r>
      <w:r w:rsidR="00E90225">
        <w:rPr>
          <w:lang w:val="en-US"/>
        </w:rPr>
        <w:t xml:space="preserve"> (slightly)</w:t>
      </w:r>
      <w:r w:rsidR="006A4A17">
        <w:rPr>
          <w:lang w:val="en-US"/>
        </w:rPr>
        <w:t xml:space="preserve"> more conducting</w:t>
      </w:r>
      <w:r w:rsidR="002F22CC">
        <w:rPr>
          <w:lang w:val="en-US"/>
        </w:rPr>
        <w:t xml:space="preserve"> </w:t>
      </w:r>
      <w:r w:rsidR="007A3C25">
        <w:rPr>
          <w:lang w:val="en-US"/>
        </w:rPr>
        <w:t>with an increas</w:t>
      </w:r>
      <w:r w:rsidR="00711AE1">
        <w:rPr>
          <w:lang w:val="en-US"/>
        </w:rPr>
        <w:t>ing</w:t>
      </w:r>
      <w:r w:rsidR="007A3C25">
        <w:rPr>
          <w:lang w:val="en-US"/>
        </w:rPr>
        <w:t xml:space="preserve"> </w:t>
      </w:r>
      <w:r w:rsidR="002F22CC">
        <w:rPr>
          <w:lang w:val="en-US"/>
        </w:rPr>
        <w:t>length</w:t>
      </w:r>
      <w:r w:rsidR="00DB46E0">
        <w:rPr>
          <w:lang w:val="en-US"/>
        </w:rPr>
        <w:t xml:space="preserve"> (Fig. 1)</w:t>
      </w:r>
      <w:r w:rsidR="006A4A17">
        <w:rPr>
          <w:lang w:val="en-US"/>
        </w:rPr>
        <w:t>.</w:t>
      </w:r>
      <w:r w:rsidR="009A7CDF" w:rsidRPr="009A7CDF">
        <w:rPr>
          <w:vertAlign w:val="superscript"/>
          <w:lang w:val="en-US"/>
        </w:rPr>
        <w:fldChar w:fldCharType="begin"/>
      </w:r>
      <w:r w:rsidR="009A7CDF" w:rsidRPr="009A7CDF">
        <w:rPr>
          <w:vertAlign w:val="superscript"/>
          <w:lang w:val="en-US"/>
        </w:rPr>
        <w:instrText xml:space="preserve"> NOTEREF _Ref521937659 \h </w:instrText>
      </w:r>
      <w:r w:rsidR="009A7CDF">
        <w:rPr>
          <w:vertAlign w:val="superscript"/>
          <w:lang w:val="en-US"/>
        </w:rPr>
        <w:instrText xml:space="preserve"> \* MERGEFORMAT </w:instrText>
      </w:r>
      <w:r w:rsidR="009A7CDF" w:rsidRPr="009A7CDF">
        <w:rPr>
          <w:vertAlign w:val="superscript"/>
          <w:lang w:val="en-US"/>
        </w:rPr>
      </w:r>
      <w:r w:rsidR="009A7CDF" w:rsidRPr="009A7CDF">
        <w:rPr>
          <w:vertAlign w:val="superscript"/>
          <w:lang w:val="en-US"/>
        </w:rPr>
        <w:fldChar w:fldCharType="separate"/>
      </w:r>
      <w:r w:rsidR="005E3C6C">
        <w:rPr>
          <w:vertAlign w:val="superscript"/>
          <w:lang w:val="en-US"/>
        </w:rPr>
        <w:t>11</w:t>
      </w:r>
      <w:r w:rsidR="009A7CDF" w:rsidRPr="009A7CDF">
        <w:rPr>
          <w:vertAlign w:val="superscript"/>
          <w:lang w:val="en-US"/>
        </w:rPr>
        <w:fldChar w:fldCharType="end"/>
      </w:r>
      <w:r w:rsidR="009A7CDF" w:rsidRPr="009A7CDF">
        <w:rPr>
          <w:vertAlign w:val="superscript"/>
          <w:lang w:val="en-US"/>
        </w:rPr>
        <w:t xml:space="preserve"> </w:t>
      </w:r>
      <w:r w:rsidR="004D77F1">
        <w:rPr>
          <w:lang w:val="en-US"/>
        </w:rPr>
        <w:t xml:space="preserve"> This wire was </w:t>
      </w:r>
      <w:r w:rsidR="00F526AE">
        <w:rPr>
          <w:lang w:val="en-US"/>
        </w:rPr>
        <w:t>considered especially promising</w:t>
      </w:r>
      <w:r w:rsidR="004D77F1">
        <w:rPr>
          <w:lang w:val="en-US"/>
        </w:rPr>
        <w:t xml:space="preserve"> since its Zn-</w:t>
      </w:r>
      <w:r w:rsidR="00963012">
        <w:rPr>
          <w:lang w:val="en-US"/>
        </w:rPr>
        <w:t xml:space="preserve">coordinated </w:t>
      </w:r>
      <w:r w:rsidR="004D77F1">
        <w:rPr>
          <w:lang w:val="en-US"/>
        </w:rPr>
        <w:t xml:space="preserve">analogue had been synthesized </w:t>
      </w:r>
      <w:r w:rsidR="000E6B86">
        <w:rPr>
          <w:lang w:val="en-US"/>
        </w:rPr>
        <w:t>and is known to be sufficiently stable for its transport properties to be measured</w:t>
      </w:r>
      <w:r w:rsidR="00092DEB">
        <w:rPr>
          <w:lang w:val="en-US"/>
        </w:rPr>
        <w:t xml:space="preserve"> experimentally</w:t>
      </w:r>
      <w:r w:rsidR="004D77F1">
        <w:rPr>
          <w:lang w:val="en-US"/>
        </w:rPr>
        <w:t>.</w:t>
      </w:r>
      <w:bookmarkStart w:id="9" w:name="_Ref522314740"/>
      <w:r w:rsidR="004D77F1">
        <w:rPr>
          <w:rStyle w:val="Eindnootmarkering"/>
          <w:lang w:val="en-US"/>
        </w:rPr>
        <w:endnoteReference w:id="13"/>
      </w:r>
      <w:bookmarkEnd w:id="9"/>
    </w:p>
    <w:p w14:paraId="73679129" w14:textId="77777777" w:rsidR="00427849" w:rsidRDefault="00427849" w:rsidP="00DB46E0">
      <w:pPr>
        <w:spacing w:line="480" w:lineRule="auto"/>
        <w:ind w:firstLine="708"/>
        <w:jc w:val="both"/>
        <w:rPr>
          <w:lang w:val="en-US"/>
        </w:rPr>
      </w:pPr>
    </w:p>
    <w:p w14:paraId="12D93B6F" w14:textId="328A41D6" w:rsidR="00E137E2" w:rsidRDefault="00BC634E" w:rsidP="00DB46E0">
      <w:pPr>
        <w:spacing w:line="480" w:lineRule="auto"/>
        <w:ind w:firstLine="708"/>
        <w:jc w:val="center"/>
        <w:rPr>
          <w:lang w:val="en-US"/>
        </w:rPr>
      </w:pPr>
      <w:r>
        <w:rPr>
          <w:noProof/>
        </w:rPr>
        <w:lastRenderedPageBreak/>
        <w:drawing>
          <wp:inline distT="0" distB="0" distL="0" distR="0" wp14:anchorId="2763EDD1" wp14:editId="1C959BE4">
            <wp:extent cx="2551430" cy="2258060"/>
            <wp:effectExtent l="0" t="0" r="0" b="2540"/>
            <wp:docPr id="9" name="Afbeelding 9" descr="wires_in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res_intr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51430" cy="2258060"/>
                    </a:xfrm>
                    <a:prstGeom prst="rect">
                      <a:avLst/>
                    </a:prstGeom>
                    <a:noFill/>
                    <a:ln>
                      <a:noFill/>
                    </a:ln>
                  </pic:spPr>
                </pic:pic>
              </a:graphicData>
            </a:graphic>
          </wp:inline>
        </w:drawing>
      </w:r>
      <w:r w:rsidR="00427849" w:rsidRPr="008F61B3">
        <w:rPr>
          <w:noProof/>
        </w:rPr>
        <mc:AlternateContent>
          <mc:Choice Requires="wps">
            <w:drawing>
              <wp:anchor distT="0" distB="0" distL="114300" distR="114300" simplePos="0" relativeHeight="251667456" behindDoc="0" locked="0" layoutInCell="1" allowOverlap="1" wp14:anchorId="6205C0F4" wp14:editId="75D74AA5">
                <wp:simplePos x="0" y="0"/>
                <wp:positionH relativeFrom="margin">
                  <wp:posOffset>67945</wp:posOffset>
                </wp:positionH>
                <wp:positionV relativeFrom="paragraph">
                  <wp:posOffset>2296160</wp:posOffset>
                </wp:positionV>
                <wp:extent cx="5829300" cy="499110"/>
                <wp:effectExtent l="0" t="0" r="12700" b="12700"/>
                <wp:wrapThrough wrapText="bothSides">
                  <wp:wrapPolygon edited="0">
                    <wp:start x="0" y="0"/>
                    <wp:lineTo x="0" y="20571"/>
                    <wp:lineTo x="21553" y="20571"/>
                    <wp:lineTo x="21553" y="0"/>
                    <wp:lineTo x="0" y="0"/>
                  </wp:wrapPolygon>
                </wp:wrapThrough>
                <wp:docPr id="7" name="Tekstvak 7"/>
                <wp:cNvGraphicFramePr/>
                <a:graphic xmlns:a="http://schemas.openxmlformats.org/drawingml/2006/main">
                  <a:graphicData uri="http://schemas.microsoft.com/office/word/2010/wordprocessingShape">
                    <wps:wsp>
                      <wps:cNvSpPr txBox="1"/>
                      <wps:spPr>
                        <a:xfrm>
                          <a:off x="0" y="0"/>
                          <a:ext cx="5829300" cy="49911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289FA4A4" w14:textId="7A2FCF7F" w:rsidR="004327C7" w:rsidRPr="00427849" w:rsidRDefault="004327C7" w:rsidP="00A24223">
                            <w:pPr>
                              <w:pStyle w:val="Bijschrift"/>
                              <w:jc w:val="both"/>
                              <w:rPr>
                                <w:rFonts w:cs="Times New Roman"/>
                                <w:b w:val="0"/>
                                <w:iCs/>
                                <w:noProof/>
                                <w:color w:val="auto"/>
                                <w:sz w:val="24"/>
                                <w:szCs w:val="24"/>
                              </w:rPr>
                            </w:pPr>
                            <w:r w:rsidRPr="00A91200">
                              <w:rPr>
                                <w:iCs/>
                                <w:color w:val="auto"/>
                                <w:sz w:val="24"/>
                                <w:szCs w:val="24"/>
                              </w:rPr>
                              <w:t xml:space="preserve">Figure </w:t>
                            </w:r>
                            <w:r>
                              <w:rPr>
                                <w:iCs/>
                                <w:color w:val="auto"/>
                                <w:sz w:val="24"/>
                                <w:szCs w:val="24"/>
                              </w:rPr>
                              <w:t>1</w:t>
                            </w:r>
                            <w:r w:rsidRPr="00A91200">
                              <w:rPr>
                                <w:iCs/>
                                <w:color w:val="auto"/>
                                <w:sz w:val="24"/>
                                <w:szCs w:val="24"/>
                              </w:rPr>
                              <w:t xml:space="preserve">. </w:t>
                            </w:r>
                            <w:r>
                              <w:rPr>
                                <w:b w:val="0"/>
                                <w:bCs w:val="0"/>
                                <w:iCs/>
                                <w:color w:val="auto"/>
                                <w:sz w:val="24"/>
                                <w:szCs w:val="24"/>
                                <w:lang w:eastAsia="ja-JP"/>
                              </w:rPr>
                              <w:t>C</w:t>
                            </w:r>
                            <w:r>
                              <w:rPr>
                                <w:b w:val="0"/>
                                <w:bCs w:val="0"/>
                                <w:iCs/>
                                <w:color w:val="auto"/>
                                <w:sz w:val="24"/>
                                <w:szCs w:val="24"/>
                              </w:rPr>
                              <w:t xml:space="preserve">umulene[n], the promising candidate anti-ohmic wire recently proposed by Garner </w:t>
                            </w:r>
                            <w:r w:rsidRPr="00DB46E0">
                              <w:rPr>
                                <w:b w:val="0"/>
                                <w:bCs w:val="0"/>
                                <w:i/>
                                <w:color w:val="auto"/>
                                <w:sz w:val="24"/>
                                <w:szCs w:val="24"/>
                              </w:rPr>
                              <w:t>et al</w:t>
                            </w:r>
                            <w:r>
                              <w:rPr>
                                <w:b w:val="0"/>
                                <w:bCs w:val="0"/>
                                <w:iCs/>
                                <w:color w:val="auto"/>
                                <w:sz w:val="24"/>
                                <w:szCs w:val="24"/>
                              </w:rPr>
                              <w:t xml:space="preserve">. (top) and </w:t>
                            </w:r>
                            <w:r>
                              <w:rPr>
                                <w:rFonts w:cs="Times New Roman"/>
                                <w:b w:val="0"/>
                                <w:iCs/>
                                <w:noProof/>
                                <w:color w:val="auto"/>
                                <w:sz w:val="24"/>
                                <w:szCs w:val="24"/>
                              </w:rPr>
                              <w:t xml:space="preserve">fused porphyrin[n], the wire proposed by Algethami </w:t>
                            </w:r>
                            <w:r w:rsidRPr="00427849">
                              <w:rPr>
                                <w:rFonts w:cs="Times New Roman"/>
                                <w:b w:val="0"/>
                                <w:i/>
                                <w:noProof/>
                                <w:color w:val="auto"/>
                                <w:sz w:val="24"/>
                                <w:szCs w:val="24"/>
                              </w:rPr>
                              <w:t>et al.</w:t>
                            </w:r>
                            <w:r>
                              <w:rPr>
                                <w:rFonts w:cs="Times New Roman"/>
                                <w:b w:val="0"/>
                                <w:i/>
                                <w:noProof/>
                                <w:color w:val="auto"/>
                                <w:sz w:val="24"/>
                                <w:szCs w:val="24"/>
                              </w:rPr>
                              <w:t xml:space="preserve"> </w:t>
                            </w:r>
                            <w:r>
                              <w:rPr>
                                <w:rFonts w:cs="Times New Roman"/>
                                <w:b w:val="0"/>
                                <w:iCs/>
                                <w:noProof/>
                                <w:color w:val="auto"/>
                                <w:sz w:val="24"/>
                                <w:szCs w:val="24"/>
                              </w:rPr>
                              <w:t>(bottom).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205C0F4" id="_x0000_t202" coordsize="21600,21600" o:spt="202" path="m0,0l0,21600,21600,21600,21600,0xe">
                <v:stroke joinstyle="miter"/>
                <v:path gradientshapeok="t" o:connecttype="rect"/>
              </v:shapetype>
              <v:shape id="Tekstvak 7" o:spid="_x0000_s1026" type="#_x0000_t202" style="position:absolute;left:0;text-align:left;margin-left:5.35pt;margin-top:180.8pt;width:459pt;height:39.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" stroked="f">
                <v:textbox style="mso-fit-shape-to-text:t" inset="0,0,0,0">
                  <w:txbxContent>
                    <w:p w14:paraId="289FA4A4" w14:textId="7A2FCF7F" w:rsidR="004327C7" w:rsidRPr="00427849" w:rsidRDefault="004327C7" w:rsidP="00A24223">
                      <w:pPr>
                        <w:pStyle w:val="Bijschrift"/>
                        <w:jc w:val="both"/>
                        <w:rPr>
                          <w:rFonts w:cs="Times New Roman"/>
                          <w:b w:val="0"/>
                          <w:iCs/>
                          <w:noProof/>
                          <w:color w:val="auto"/>
                          <w:sz w:val="24"/>
                          <w:szCs w:val="24"/>
                        </w:rPr>
                      </w:pPr>
                      <w:r w:rsidRPr="00A91200">
                        <w:rPr>
                          <w:iCs/>
                          <w:color w:val="auto"/>
                          <w:sz w:val="24"/>
                          <w:szCs w:val="24"/>
                        </w:rPr>
                        <w:t xml:space="preserve">Figure </w:t>
                      </w:r>
                      <w:r>
                        <w:rPr>
                          <w:iCs/>
                          <w:color w:val="auto"/>
                          <w:sz w:val="24"/>
                          <w:szCs w:val="24"/>
                        </w:rPr>
                        <w:t>1</w:t>
                      </w:r>
                      <w:r w:rsidRPr="00A91200">
                        <w:rPr>
                          <w:iCs/>
                          <w:color w:val="auto"/>
                          <w:sz w:val="24"/>
                          <w:szCs w:val="24"/>
                        </w:rPr>
                        <w:t xml:space="preserve">. </w:t>
                      </w:r>
                      <w:proofErr w:type="spellStart"/>
                      <w:r>
                        <w:rPr>
                          <w:b w:val="0"/>
                          <w:bCs w:val="0"/>
                          <w:iCs/>
                          <w:color w:val="auto"/>
                          <w:sz w:val="24"/>
                          <w:szCs w:val="24"/>
                          <w:lang w:eastAsia="ja-JP"/>
                        </w:rPr>
                        <w:t>C</w:t>
                      </w:r>
                      <w:r>
                        <w:rPr>
                          <w:b w:val="0"/>
                          <w:bCs w:val="0"/>
                          <w:iCs/>
                          <w:color w:val="auto"/>
                          <w:sz w:val="24"/>
                          <w:szCs w:val="24"/>
                        </w:rPr>
                        <w:t>umulene</w:t>
                      </w:r>
                      <w:proofErr w:type="spellEnd"/>
                      <w:r>
                        <w:rPr>
                          <w:b w:val="0"/>
                          <w:bCs w:val="0"/>
                          <w:iCs/>
                          <w:color w:val="auto"/>
                          <w:sz w:val="24"/>
                          <w:szCs w:val="24"/>
                        </w:rPr>
                        <w:t>[n], the promising candidate anti-</w:t>
                      </w:r>
                      <w:proofErr w:type="spellStart"/>
                      <w:r>
                        <w:rPr>
                          <w:b w:val="0"/>
                          <w:bCs w:val="0"/>
                          <w:iCs/>
                          <w:color w:val="auto"/>
                          <w:sz w:val="24"/>
                          <w:szCs w:val="24"/>
                        </w:rPr>
                        <w:t>ohmic</w:t>
                      </w:r>
                      <w:proofErr w:type="spellEnd"/>
                      <w:r>
                        <w:rPr>
                          <w:b w:val="0"/>
                          <w:bCs w:val="0"/>
                          <w:iCs/>
                          <w:color w:val="auto"/>
                          <w:sz w:val="24"/>
                          <w:szCs w:val="24"/>
                        </w:rPr>
                        <w:t xml:space="preserve"> wire recently proposed by Garner </w:t>
                      </w:r>
                      <w:r w:rsidRPr="00DB46E0">
                        <w:rPr>
                          <w:b w:val="0"/>
                          <w:bCs w:val="0"/>
                          <w:i/>
                          <w:color w:val="auto"/>
                          <w:sz w:val="24"/>
                          <w:szCs w:val="24"/>
                        </w:rPr>
                        <w:t>et al</w:t>
                      </w:r>
                      <w:r>
                        <w:rPr>
                          <w:b w:val="0"/>
                          <w:bCs w:val="0"/>
                          <w:iCs/>
                          <w:color w:val="auto"/>
                          <w:sz w:val="24"/>
                          <w:szCs w:val="24"/>
                        </w:rPr>
                        <w:t xml:space="preserve">. (top) and </w:t>
                      </w:r>
                      <w:r>
                        <w:rPr>
                          <w:rFonts w:cs="Times New Roman"/>
                          <w:b w:val="0"/>
                          <w:iCs/>
                          <w:noProof/>
                          <w:color w:val="auto"/>
                          <w:sz w:val="24"/>
                          <w:szCs w:val="24"/>
                        </w:rPr>
                        <w:t xml:space="preserve">fused porphyrin[n], the wire proposed by Algethami </w:t>
                      </w:r>
                      <w:r w:rsidRPr="00427849">
                        <w:rPr>
                          <w:rFonts w:cs="Times New Roman"/>
                          <w:b w:val="0"/>
                          <w:i/>
                          <w:noProof/>
                          <w:color w:val="auto"/>
                          <w:sz w:val="24"/>
                          <w:szCs w:val="24"/>
                        </w:rPr>
                        <w:t>et al.</w:t>
                      </w:r>
                      <w:r>
                        <w:rPr>
                          <w:rFonts w:cs="Times New Roman"/>
                          <w:b w:val="0"/>
                          <w:i/>
                          <w:noProof/>
                          <w:color w:val="auto"/>
                          <w:sz w:val="24"/>
                          <w:szCs w:val="24"/>
                        </w:rPr>
                        <w:t xml:space="preserve"> </w:t>
                      </w:r>
                      <w:r>
                        <w:rPr>
                          <w:rFonts w:cs="Times New Roman"/>
                          <w:b w:val="0"/>
                          <w:iCs/>
                          <w:noProof/>
                          <w:color w:val="auto"/>
                          <w:sz w:val="24"/>
                          <w:szCs w:val="24"/>
                        </w:rPr>
                        <w:t>(bottom).</w:t>
                      </w:r>
                    </w:p>
                  </w:txbxContent>
                </v:textbox>
                <w10:wrap type="through" anchorx="margin"/>
              </v:shape>
            </w:pict>
          </mc:Fallback>
        </mc:AlternateContent>
      </w:r>
    </w:p>
    <w:p w14:paraId="686E95D3" w14:textId="77777777" w:rsidR="00E137E2" w:rsidRPr="004D77F1" w:rsidRDefault="00E137E2" w:rsidP="00427849">
      <w:pPr>
        <w:spacing w:line="480" w:lineRule="auto"/>
        <w:jc w:val="both"/>
        <w:rPr>
          <w:lang w:val="en-US"/>
        </w:rPr>
      </w:pPr>
    </w:p>
    <w:p w14:paraId="6E3B1BA4" w14:textId="44DB2552" w:rsidR="006A4A17" w:rsidRDefault="006A4A17" w:rsidP="005E63DC">
      <w:pPr>
        <w:spacing w:line="480" w:lineRule="auto"/>
        <w:jc w:val="both"/>
        <w:rPr>
          <w:lang w:val="en-US"/>
        </w:rPr>
      </w:pPr>
      <w:r>
        <w:rPr>
          <w:lang w:val="en-US"/>
        </w:rPr>
        <w:tab/>
        <w:t xml:space="preserve">In the present contribution, we </w:t>
      </w:r>
      <w:r w:rsidR="00C4733B">
        <w:rPr>
          <w:lang w:val="en-US"/>
        </w:rPr>
        <w:t>point out</w:t>
      </w:r>
      <w:r>
        <w:rPr>
          <w:lang w:val="en-US"/>
        </w:rPr>
        <w:t xml:space="preserve"> </w:t>
      </w:r>
      <w:r w:rsidR="004A5F1A">
        <w:rPr>
          <w:lang w:val="en-US"/>
        </w:rPr>
        <w:t>the most important</w:t>
      </w:r>
      <w:r w:rsidR="00CD24D7">
        <w:rPr>
          <w:lang w:val="en-US"/>
        </w:rPr>
        <w:t xml:space="preserve"> common feature</w:t>
      </w:r>
      <w:r w:rsidR="005E63DC">
        <w:rPr>
          <w:lang w:val="en-US"/>
        </w:rPr>
        <w:t xml:space="preserve"> of all these proposed wires</w:t>
      </w:r>
      <w:r w:rsidR="000967CC">
        <w:rPr>
          <w:lang w:val="en-US"/>
        </w:rPr>
        <w:t>, i.e., the ultimate driving forc</w:t>
      </w:r>
      <w:r w:rsidR="005E63DC">
        <w:rPr>
          <w:lang w:val="en-US"/>
        </w:rPr>
        <w:t>e for their anti-Ohmic behavior</w:t>
      </w:r>
      <w:r w:rsidR="009D2696">
        <w:rPr>
          <w:lang w:val="en-US"/>
        </w:rPr>
        <w:t xml:space="preserve">: their diradical character increases with length. </w:t>
      </w:r>
      <w:r w:rsidR="00963012">
        <w:rPr>
          <w:lang w:val="en-US"/>
        </w:rPr>
        <w:t>Th</w:t>
      </w:r>
      <w:r w:rsidR="00165F81">
        <w:rPr>
          <w:lang w:val="en-US"/>
        </w:rPr>
        <w:t>e</w:t>
      </w:r>
      <w:r w:rsidR="00963012">
        <w:rPr>
          <w:lang w:val="en-US"/>
        </w:rPr>
        <w:t xml:space="preserve"> conceptual connection</w:t>
      </w:r>
      <w:r w:rsidR="00165F81">
        <w:rPr>
          <w:lang w:val="en-US"/>
        </w:rPr>
        <w:t xml:space="preserve"> between diradical character and </w:t>
      </w:r>
      <w:r w:rsidR="001A6369">
        <w:rPr>
          <w:lang w:val="en-US"/>
        </w:rPr>
        <w:t>molecular conductance</w:t>
      </w:r>
      <w:r w:rsidR="009064FC">
        <w:rPr>
          <w:lang w:val="en-US"/>
        </w:rPr>
        <w:t xml:space="preserve"> enables a systematic design of </w:t>
      </w:r>
      <w:r w:rsidR="003423CE">
        <w:rPr>
          <w:lang w:val="en-US"/>
        </w:rPr>
        <w:t xml:space="preserve">anti-Ohmic </w:t>
      </w:r>
      <w:r w:rsidR="009064FC">
        <w:rPr>
          <w:lang w:val="en-US"/>
        </w:rPr>
        <w:t>wires.</w:t>
      </w:r>
      <w:r w:rsidR="00D7118E">
        <w:rPr>
          <w:lang w:val="en-US"/>
        </w:rPr>
        <w:t xml:space="preserve"> </w:t>
      </w:r>
      <w:r w:rsidR="00337E57">
        <w:rPr>
          <w:lang w:val="en-US"/>
        </w:rPr>
        <w:t xml:space="preserve">Furthermore, this connection immediately </w:t>
      </w:r>
      <w:r w:rsidR="00D12E14">
        <w:rPr>
          <w:lang w:val="en-US"/>
        </w:rPr>
        <w:t xml:space="preserve">explains </w:t>
      </w:r>
      <w:r w:rsidR="00337E57">
        <w:rPr>
          <w:lang w:val="en-US"/>
        </w:rPr>
        <w:t xml:space="preserve">the common issue shared by the bulk of the proposed wires so far: </w:t>
      </w:r>
      <w:r w:rsidR="00EB285B">
        <w:rPr>
          <w:lang w:val="en-US"/>
        </w:rPr>
        <w:t xml:space="preserve">that </w:t>
      </w:r>
      <w:r w:rsidR="00337E57">
        <w:rPr>
          <w:lang w:val="en-US"/>
        </w:rPr>
        <w:t xml:space="preserve">their longer analogues are very hard to handle/synthesize due to their </w:t>
      </w:r>
      <w:r w:rsidR="009A7CDF">
        <w:rPr>
          <w:lang w:val="en-US"/>
        </w:rPr>
        <w:t xml:space="preserve">inherent </w:t>
      </w:r>
      <w:r w:rsidR="00EB285B">
        <w:rPr>
          <w:lang w:val="en-US"/>
        </w:rPr>
        <w:t xml:space="preserve">radical-like </w:t>
      </w:r>
      <w:r w:rsidR="00337E57">
        <w:rPr>
          <w:lang w:val="en-US"/>
        </w:rPr>
        <w:t xml:space="preserve">instability. We propose a </w:t>
      </w:r>
      <w:r w:rsidR="00D64614">
        <w:rPr>
          <w:lang w:val="en-US"/>
        </w:rPr>
        <w:t>systematic</w:t>
      </w:r>
      <w:r w:rsidR="00EF2EFC">
        <w:rPr>
          <w:lang w:val="en-US"/>
        </w:rPr>
        <w:t xml:space="preserve"> </w:t>
      </w:r>
      <w:r w:rsidR="00337E57">
        <w:rPr>
          <w:lang w:val="en-US"/>
        </w:rPr>
        <w:t xml:space="preserve">strategy to </w:t>
      </w:r>
      <w:r w:rsidR="002B1083">
        <w:rPr>
          <w:lang w:val="en-US"/>
        </w:rPr>
        <w:t>deal with this</w:t>
      </w:r>
      <w:r w:rsidR="00337E57">
        <w:rPr>
          <w:lang w:val="en-US"/>
        </w:rPr>
        <w:t xml:space="preserve"> trade-off between </w:t>
      </w:r>
      <w:r w:rsidR="00A360EF">
        <w:rPr>
          <w:lang w:val="en-US"/>
        </w:rPr>
        <w:t xml:space="preserve">the </w:t>
      </w:r>
      <w:r w:rsidR="00337E57">
        <w:rPr>
          <w:lang w:val="en-US"/>
        </w:rPr>
        <w:t xml:space="preserve">stability and </w:t>
      </w:r>
      <w:r w:rsidR="00A360EF">
        <w:rPr>
          <w:lang w:val="en-US"/>
        </w:rPr>
        <w:t xml:space="preserve">the </w:t>
      </w:r>
      <w:r w:rsidR="00337E57">
        <w:rPr>
          <w:lang w:val="en-US"/>
        </w:rPr>
        <w:t>conductance</w:t>
      </w:r>
      <w:r w:rsidR="0066777D">
        <w:rPr>
          <w:lang w:val="en-US"/>
        </w:rPr>
        <w:t>.</w:t>
      </w:r>
      <w:r w:rsidR="00337E57">
        <w:rPr>
          <w:lang w:val="en-US"/>
        </w:rPr>
        <w:t xml:space="preserve"> </w:t>
      </w:r>
      <w:r w:rsidR="0066777D">
        <w:rPr>
          <w:lang w:val="en-US"/>
        </w:rPr>
        <w:t>T</w:t>
      </w:r>
      <w:r w:rsidR="00EF2EFC">
        <w:rPr>
          <w:lang w:val="en-US"/>
        </w:rPr>
        <w:t>his approach</w:t>
      </w:r>
      <w:r w:rsidR="00337E57">
        <w:rPr>
          <w:lang w:val="en-US"/>
        </w:rPr>
        <w:t xml:space="preserve"> can </w:t>
      </w:r>
      <w:r w:rsidR="00F7071E">
        <w:rPr>
          <w:lang w:val="en-US"/>
        </w:rPr>
        <w:t xml:space="preserve">lead us to </w:t>
      </w:r>
      <w:r w:rsidR="00337E57">
        <w:rPr>
          <w:lang w:val="en-US"/>
        </w:rPr>
        <w:t xml:space="preserve">the </w:t>
      </w:r>
      <w:r w:rsidR="00D7118E">
        <w:rPr>
          <w:lang w:val="en-US"/>
        </w:rPr>
        <w:t>experimental verification</w:t>
      </w:r>
      <w:r w:rsidR="00B81BAE">
        <w:rPr>
          <w:lang w:val="en-US"/>
        </w:rPr>
        <w:t xml:space="preserve"> and exploitation</w:t>
      </w:r>
      <w:r w:rsidR="00D7118E">
        <w:rPr>
          <w:lang w:val="en-US"/>
        </w:rPr>
        <w:t xml:space="preserve"> of this non-classical behavior.</w:t>
      </w:r>
      <w:r w:rsidR="00E86354">
        <w:rPr>
          <w:lang w:val="en-US"/>
        </w:rPr>
        <w:t xml:space="preserve"> </w:t>
      </w:r>
    </w:p>
    <w:p w14:paraId="6CA04734" w14:textId="5B82C7F2" w:rsidR="009064FC" w:rsidRDefault="009064FC" w:rsidP="009C2E2E">
      <w:pPr>
        <w:spacing w:line="480" w:lineRule="auto"/>
        <w:ind w:firstLine="708"/>
        <w:jc w:val="both"/>
        <w:rPr>
          <w:lang w:val="en-US"/>
        </w:rPr>
      </w:pPr>
      <w:r>
        <w:rPr>
          <w:lang w:val="en-US"/>
        </w:rPr>
        <w:t xml:space="preserve">Let us first </w:t>
      </w:r>
      <w:r w:rsidR="009C2E2E">
        <w:rPr>
          <w:lang w:val="en-US"/>
        </w:rPr>
        <w:t xml:space="preserve">discuss the general factors that </w:t>
      </w:r>
      <w:r w:rsidR="005828BC">
        <w:rPr>
          <w:lang w:val="en-US"/>
        </w:rPr>
        <w:t>result in</w:t>
      </w:r>
      <w:r w:rsidR="009C2E2E">
        <w:rPr>
          <w:lang w:val="en-US"/>
        </w:rPr>
        <w:t xml:space="preserve"> an increasing conductance with length</w:t>
      </w:r>
      <w:r>
        <w:rPr>
          <w:lang w:val="en-US"/>
        </w:rPr>
        <w:t xml:space="preserve">. The most straightforward starting point for our argument is the expression </w:t>
      </w:r>
      <w:r w:rsidR="00AB64A9">
        <w:rPr>
          <w:lang w:val="en-US"/>
        </w:rPr>
        <w:t xml:space="preserve">of </w:t>
      </w:r>
      <w:r>
        <w:rPr>
          <w:lang w:val="en-US"/>
        </w:rPr>
        <w:t xml:space="preserve">the zeroth order Green’s function in a tight-binding approach when contacts are connected to positions </w:t>
      </w:r>
      <w:r w:rsidRPr="00C323FD">
        <w:rPr>
          <w:i/>
          <w:iCs/>
          <w:lang w:val="en-US"/>
        </w:rPr>
        <w:t>r</w:t>
      </w:r>
      <w:r>
        <w:rPr>
          <w:lang w:val="en-US"/>
        </w:rPr>
        <w:t xml:space="preserve"> and </w:t>
      </w:r>
      <w:r w:rsidRPr="00C323FD">
        <w:rPr>
          <w:i/>
          <w:iCs/>
          <w:lang w:val="en-US"/>
        </w:rPr>
        <w:t>s</w:t>
      </w:r>
      <w:r>
        <w:rPr>
          <w:lang w:val="en-US"/>
        </w:rPr>
        <w:t xml:space="preserve"> of the conjugated system of a molecule:</w:t>
      </w:r>
      <w:bookmarkStart w:id="10" w:name="_Ref519343331"/>
      <w:r>
        <w:rPr>
          <w:rStyle w:val="Eindnootmarkering"/>
          <w:lang w:val="en-US"/>
        </w:rPr>
        <w:endnoteReference w:id="14"/>
      </w:r>
      <w:bookmarkEnd w:id="10"/>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7391"/>
        <w:gridCol w:w="869"/>
      </w:tblGrid>
      <w:tr w:rsidR="009064FC" w:rsidRPr="00C138F0" w14:paraId="3E608E48" w14:textId="77777777" w:rsidTr="00A31210">
        <w:tc>
          <w:tcPr>
            <w:tcW w:w="806" w:type="dxa"/>
          </w:tcPr>
          <w:p w14:paraId="5BD893FE" w14:textId="77777777" w:rsidR="009064FC" w:rsidRPr="00684658" w:rsidRDefault="009064FC" w:rsidP="00A31210">
            <w:pPr>
              <w:spacing w:line="480" w:lineRule="auto"/>
              <w:contextualSpacing/>
              <w:jc w:val="center"/>
              <w:rPr>
                <w:rFonts w:ascii="Times New Roman" w:hAnsi="Times New Roman" w:cs="Times New Roman"/>
                <w:lang w:val="en-US"/>
              </w:rPr>
            </w:pPr>
          </w:p>
        </w:tc>
        <w:tc>
          <w:tcPr>
            <w:tcW w:w="7391" w:type="dxa"/>
            <w:vAlign w:val="center"/>
          </w:tcPr>
          <w:p w14:paraId="1EB26C17" w14:textId="77777777" w:rsidR="009064FC" w:rsidRPr="00DB4379" w:rsidRDefault="009B14D3" w:rsidP="00A31210">
            <w:pPr>
              <w:spacing w:line="480" w:lineRule="auto"/>
              <w:jc w:val="center"/>
              <w:rPr>
                <w:b/>
                <w:bCs/>
                <w:sz w:val="36"/>
                <w:szCs w:val="36"/>
                <w:lang w:val="en-US"/>
              </w:rPr>
            </w:pPr>
            <m:oMath>
              <m:sSubSup>
                <m:sSubSupPr>
                  <m:ctrlPr>
                    <w:rPr>
                      <w:rFonts w:ascii="Cambria Math" w:hAnsi="Cambria Math"/>
                      <w:sz w:val="28"/>
                      <w:szCs w:val="28"/>
                    </w:rPr>
                  </m:ctrlPr>
                </m:sSubSupPr>
                <m:e>
                  <m:r>
                    <m:rPr>
                      <m:sty m:val="p"/>
                    </m:rPr>
                    <w:rPr>
                      <w:rFonts w:ascii="Cambria Math" w:hAnsi="Cambria Math"/>
                      <w:sz w:val="28"/>
                      <w:szCs w:val="28"/>
                      <w:lang w:val="en-US"/>
                    </w:rPr>
                    <m:t>G</m:t>
                  </m:r>
                </m:e>
                <m:sub>
                  <m:r>
                    <w:rPr>
                      <w:rFonts w:ascii="Cambria Math" w:hAnsi="Cambria Math"/>
                      <w:sz w:val="28"/>
                      <w:szCs w:val="28"/>
                    </w:rPr>
                    <m:t>rs</m:t>
                  </m:r>
                </m:sub>
                <m:sup>
                  <m:d>
                    <m:dPr>
                      <m:ctrlPr>
                        <w:rPr>
                          <w:rFonts w:ascii="Cambria Math" w:hAnsi="Cambria Math"/>
                          <w:i/>
                          <w:sz w:val="28"/>
                          <w:szCs w:val="28"/>
                          <w:lang w:val="en-US"/>
                        </w:rPr>
                      </m:ctrlPr>
                    </m:dPr>
                    <m:e>
                      <m:r>
                        <w:rPr>
                          <w:rFonts w:ascii="Cambria Math" w:hAnsi="Cambria Math"/>
                          <w:sz w:val="28"/>
                          <w:szCs w:val="28"/>
                          <w:lang w:val="en-US"/>
                        </w:rPr>
                        <m:t>0</m:t>
                      </m:r>
                    </m:e>
                  </m:d>
                  <m:r>
                    <w:rPr>
                      <w:rFonts w:ascii="Cambria Math" w:hAnsi="Cambria Math"/>
                      <w:sz w:val="28"/>
                      <w:szCs w:val="28"/>
                      <w:lang w:val="en-US"/>
                    </w:rPr>
                    <m:t>R/A</m:t>
                  </m:r>
                </m:sup>
              </m:sSubSup>
              <m:d>
                <m:dPr>
                  <m:ctrlPr>
                    <w:rPr>
                      <w:rFonts w:ascii="Cambria Math" w:hAnsi="Cambria Math"/>
                      <w:i/>
                      <w:sz w:val="28"/>
                      <w:szCs w:val="28"/>
                    </w:rPr>
                  </m:ctrlPr>
                </m:dPr>
                <m:e>
                  <m:r>
                    <w:rPr>
                      <w:rFonts w:ascii="Cambria Math" w:hAnsi="Cambria Math"/>
                      <w:sz w:val="28"/>
                      <w:szCs w:val="28"/>
                    </w:rPr>
                    <m:t>E</m:t>
                  </m:r>
                </m:e>
              </m:d>
              <m:r>
                <w:rPr>
                  <w:rFonts w:ascii="Cambria Math" w:hAnsi="Cambria Math"/>
                  <w:sz w:val="28"/>
                  <w:szCs w:val="28"/>
                  <w:lang w:val="en-US"/>
                </w:rPr>
                <m:t xml:space="preserve">= </m:t>
              </m:r>
              <m:nary>
                <m:naryPr>
                  <m:chr m:val="∑"/>
                  <m:limLoc m:val="undOvr"/>
                  <m:supHide m:val="1"/>
                  <m:ctrlPr>
                    <w:rPr>
                      <w:rFonts w:ascii="Cambria Math" w:hAnsi="Cambria Math"/>
                      <w:i/>
                      <w:sz w:val="28"/>
                      <w:szCs w:val="28"/>
                    </w:rPr>
                  </m:ctrlPr>
                </m:naryPr>
                <m:sub>
                  <m:r>
                    <w:rPr>
                      <w:rFonts w:ascii="Cambria Math" w:hAnsi="Cambria Math"/>
                      <w:sz w:val="28"/>
                      <w:szCs w:val="28"/>
                    </w:rPr>
                    <m:t>k</m:t>
                  </m:r>
                </m:sub>
                <m:sup/>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rk</m:t>
                          </m:r>
                        </m:sub>
                      </m:sSub>
                      <m:sSubSup>
                        <m:sSubSupPr>
                          <m:ctrlPr>
                            <w:rPr>
                              <w:rFonts w:ascii="Cambria Math" w:hAnsi="Cambria Math"/>
                              <w:i/>
                              <w:sz w:val="28"/>
                              <w:szCs w:val="28"/>
                            </w:rPr>
                          </m:ctrlPr>
                        </m:sSubSupPr>
                        <m:e>
                          <m:r>
                            <w:rPr>
                              <w:rFonts w:ascii="Cambria Math" w:hAnsi="Cambria Math"/>
                              <w:sz w:val="28"/>
                              <w:szCs w:val="28"/>
                            </w:rPr>
                            <m:t>C</m:t>
                          </m:r>
                        </m:e>
                        <m:sub>
                          <m:r>
                            <w:rPr>
                              <w:rFonts w:ascii="Cambria Math" w:hAnsi="Cambria Math"/>
                              <w:sz w:val="28"/>
                              <w:szCs w:val="28"/>
                            </w:rPr>
                            <m:t>sk</m:t>
                          </m:r>
                        </m:sub>
                        <m:sup>
                          <m:r>
                            <w:rPr>
                              <w:rFonts w:ascii="Cambria Math" w:hAnsi="Cambria Math"/>
                              <w:sz w:val="28"/>
                              <w:szCs w:val="28"/>
                              <w:lang w:val="en-US"/>
                            </w:rPr>
                            <m:t>*</m:t>
                          </m:r>
                        </m:sup>
                      </m:sSubSup>
                    </m:num>
                    <m:den>
                      <m:r>
                        <w:rPr>
                          <w:rFonts w:ascii="Cambria Math" w:hAnsi="Cambria Math"/>
                          <w:sz w:val="28"/>
                          <w:szCs w:val="28"/>
                        </w:rPr>
                        <m:t>E</m:t>
                      </m:r>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ϵ</m:t>
                          </m:r>
                        </m:e>
                        <m:sub>
                          <m:r>
                            <w:rPr>
                              <w:rFonts w:ascii="Cambria Math" w:hAnsi="Cambria Math"/>
                              <w:sz w:val="28"/>
                              <w:szCs w:val="28"/>
                              <w:lang w:val="en-US"/>
                            </w:rPr>
                            <m:t>k</m:t>
                          </m:r>
                        </m:sub>
                      </m:sSub>
                      <m:r>
                        <w:rPr>
                          <w:rFonts w:ascii="Cambria Math" w:hAnsi="Cambria Math"/>
                          <w:sz w:val="28"/>
                          <w:szCs w:val="28"/>
                          <w:lang w:val="en-US"/>
                        </w:rPr>
                        <m:t>±iη</m:t>
                      </m:r>
                    </m:den>
                  </m:f>
                </m:e>
              </m:nary>
            </m:oMath>
            <w:r w:rsidR="009064FC" w:rsidRPr="00DB4379">
              <w:rPr>
                <w:sz w:val="28"/>
                <w:szCs w:val="28"/>
                <w:lang w:val="en-US"/>
              </w:rPr>
              <w:t xml:space="preserve"> </w:t>
            </w:r>
            <m:oMath>
              <m:r>
                <w:rPr>
                  <w:rFonts w:ascii="Cambria Math" w:hAnsi="Cambria Math"/>
                  <w:lang w:val="en-US"/>
                </w:rPr>
                <m:t>,</m:t>
              </m:r>
            </m:oMath>
          </w:p>
        </w:tc>
        <w:tc>
          <w:tcPr>
            <w:tcW w:w="869" w:type="dxa"/>
            <w:vAlign w:val="center"/>
          </w:tcPr>
          <w:p w14:paraId="3DE968A6" w14:textId="77777777" w:rsidR="009064FC" w:rsidRPr="00684658" w:rsidRDefault="009064FC" w:rsidP="00A31210">
            <w:pPr>
              <w:spacing w:line="480" w:lineRule="auto"/>
              <w:contextualSpacing/>
              <w:jc w:val="both"/>
              <w:rPr>
                <w:rFonts w:ascii="Times New Roman" w:hAnsi="Times New Roman" w:cs="Times New Roman"/>
                <w:lang w:val="en-US"/>
              </w:rPr>
            </w:pPr>
            <w:r w:rsidRPr="00684658">
              <w:rPr>
                <w:rFonts w:ascii="Times New Roman" w:hAnsi="Times New Roman" w:cs="Times New Roman"/>
                <w:lang w:val="en-US"/>
              </w:rPr>
              <w:t>(</w:t>
            </w:r>
            <w:r>
              <w:rPr>
                <w:rFonts w:ascii="Times New Roman" w:hAnsi="Times New Roman" w:cs="Times New Roman"/>
                <w:lang w:val="en-US"/>
              </w:rPr>
              <w:t>1</w:t>
            </w:r>
            <w:r w:rsidRPr="00684658">
              <w:rPr>
                <w:rFonts w:ascii="Times New Roman" w:hAnsi="Times New Roman" w:cs="Times New Roman"/>
                <w:lang w:val="en-US"/>
              </w:rPr>
              <w:t>)</w:t>
            </w:r>
          </w:p>
        </w:tc>
      </w:tr>
    </w:tbl>
    <w:p w14:paraId="193F422A" w14:textId="6A27FD90" w:rsidR="009064FC" w:rsidRDefault="009064FC" w:rsidP="00D26597">
      <w:pPr>
        <w:spacing w:line="480" w:lineRule="auto"/>
        <w:jc w:val="both"/>
        <w:rPr>
          <w:lang w:val="en-US"/>
        </w:rPr>
      </w:pPr>
      <w:r w:rsidRPr="00D26597">
        <w:lastRenderedPageBreak/>
        <w:t xml:space="preserve">where </w:t>
      </w:r>
      <m:oMath>
        <m:sSub>
          <m:sSubPr>
            <m:ctrlPr>
              <w:rPr>
                <w:rFonts w:ascii="Cambria Math" w:hAnsi="Cambria Math"/>
                <w:i/>
                <w:sz w:val="28"/>
                <w:szCs w:val="28"/>
                <w:lang w:eastAsia="nl-NL"/>
              </w:rPr>
            </m:ctrlPr>
          </m:sSubPr>
          <m:e>
            <m:r>
              <w:rPr>
                <w:rFonts w:ascii="Cambria Math" w:hAnsi="Cambria Math"/>
                <w:sz w:val="28"/>
                <w:szCs w:val="28"/>
              </w:rPr>
              <m:t>C</m:t>
            </m:r>
          </m:e>
          <m:sub>
            <m:r>
              <w:rPr>
                <w:rFonts w:ascii="Cambria Math" w:hAnsi="Cambria Math"/>
                <w:sz w:val="28"/>
                <w:szCs w:val="28"/>
              </w:rPr>
              <m:t>rk</m:t>
            </m:r>
          </m:sub>
        </m:sSub>
      </m:oMath>
      <w:r w:rsidRPr="00D26597">
        <w:t xml:space="preserve"> is the </w:t>
      </w:r>
      <w:r w:rsidRPr="00D26597">
        <w:rPr>
          <w:i/>
          <w:iCs/>
        </w:rPr>
        <w:t>k</w:t>
      </w:r>
      <w:r w:rsidRPr="00D26597">
        <w:t xml:space="preserve">th </w:t>
      </w:r>
      <w:r w:rsidR="00C82C6F" w:rsidRPr="00D26597">
        <w:t>molecular orbital</w:t>
      </w:r>
      <w:r w:rsidR="00D26597" w:rsidRPr="00D26597">
        <w:t>’s</w:t>
      </w:r>
      <w:r w:rsidR="00C82C6F" w:rsidRPr="00D26597">
        <w:t xml:space="preserve"> (</w:t>
      </w:r>
      <w:r w:rsidRPr="00D26597">
        <w:t>MO</w:t>
      </w:r>
      <w:r w:rsidR="00C82C6F" w:rsidRPr="00D26597">
        <w:t>)</w:t>
      </w:r>
      <w:r w:rsidRPr="00D26597">
        <w:t xml:space="preserve"> expansion coefficient at site </w:t>
      </w:r>
      <w:r w:rsidRPr="00D26597">
        <w:rPr>
          <w:i/>
          <w:iCs/>
        </w:rPr>
        <w:t>r</w:t>
      </w:r>
      <w:r w:rsidRPr="00D26597">
        <w:t xml:space="preserve">, </w:t>
      </w:r>
      <m:oMath>
        <m:sSub>
          <m:sSubPr>
            <m:ctrlPr>
              <w:rPr>
                <w:rFonts w:ascii="Cambria Math" w:hAnsi="Cambria Math"/>
                <w:i/>
                <w:sz w:val="28"/>
                <w:szCs w:val="28"/>
                <w:lang w:val="en-US" w:eastAsia="nl-NL"/>
              </w:rPr>
            </m:ctrlPr>
          </m:sSubPr>
          <m:e>
            <m:r>
              <w:rPr>
                <w:rFonts w:ascii="Cambria Math" w:hAnsi="Cambria Math"/>
                <w:sz w:val="28"/>
                <w:szCs w:val="28"/>
                <w:lang w:val="en-US"/>
              </w:rPr>
              <m:t>ϵ</m:t>
            </m:r>
          </m:e>
          <m:sub>
            <m:r>
              <w:rPr>
                <w:rFonts w:ascii="Cambria Math" w:hAnsi="Cambria Math"/>
                <w:sz w:val="28"/>
                <w:szCs w:val="28"/>
                <w:lang w:val="en-US"/>
              </w:rPr>
              <m:t>k</m:t>
            </m:r>
          </m:sub>
        </m:sSub>
      </m:oMath>
      <w:r w:rsidRPr="00D26597">
        <w:t xml:space="preserve"> is the MO energy</w:t>
      </w:r>
      <w:r w:rsidR="00EF64DE" w:rsidRPr="00D26597">
        <w:t>,</w:t>
      </w:r>
      <w:r w:rsidRPr="00D26597">
        <w:t xml:space="preserve"> and </w:t>
      </w:r>
      <m:oMath>
        <m:r>
          <w:rPr>
            <w:rFonts w:ascii="Cambria Math" w:hAnsi="Cambria Math"/>
            <w:sz w:val="28"/>
            <w:szCs w:val="28"/>
            <w:lang w:val="en-US"/>
          </w:rPr>
          <m:t>η</m:t>
        </m:r>
      </m:oMath>
      <w:r w:rsidRPr="00D26597">
        <w:t xml:space="preserve"> is an infinitesimal positive number. </w:t>
      </w:r>
      <w:r>
        <w:rPr>
          <w:lang w:val="en-US"/>
        </w:rPr>
        <w:t>Yoshizawa and co-workers demonstrated that, in a first approximation, the transmission probability around the Fermi level (and thus the conductance under small bias) through a molecule is proportional to the</w:t>
      </w:r>
      <w:r w:rsidR="00D26597">
        <w:rPr>
          <w:lang w:val="en-US"/>
        </w:rPr>
        <w:t xml:space="preserve"> </w:t>
      </w:r>
      <w:r w:rsidR="00F42E4E">
        <w:rPr>
          <w:lang w:val="en-US"/>
        </w:rPr>
        <w:t>absolute</w:t>
      </w:r>
      <w:r>
        <w:rPr>
          <w:lang w:val="en-US"/>
        </w:rPr>
        <w:t xml:space="preserve"> square of this Green’s function </w:t>
      </w:r>
      <w:r w:rsidR="00440CCC">
        <w:rPr>
          <w:lang w:val="en-US"/>
        </w:rPr>
        <w:t>evaluated at E</w:t>
      </w:r>
      <w:r w:rsidR="00826A14">
        <w:rPr>
          <w:lang w:val="en-US"/>
        </w:rPr>
        <w:t xml:space="preserve"> </w:t>
      </w:r>
      <w:r w:rsidR="00440CCC">
        <w:rPr>
          <w:lang w:val="en-US"/>
        </w:rPr>
        <w:t>=</w:t>
      </w:r>
      <w:r w:rsidR="00826A14">
        <w:rPr>
          <w:lang w:val="en-US"/>
        </w:rPr>
        <w:t xml:space="preserve"> </w:t>
      </w:r>
      <w:r w:rsidR="00440CCC">
        <w:rPr>
          <w:lang w:val="en-US"/>
        </w:rPr>
        <w:t>E</w:t>
      </w:r>
      <w:r w:rsidR="00440CCC">
        <w:rPr>
          <w:vertAlign w:val="subscript"/>
          <w:lang w:val="en-US"/>
        </w:rPr>
        <w:t>F</w:t>
      </w:r>
      <w:r w:rsidR="00826A14">
        <w:rPr>
          <w:lang w:val="en-US"/>
        </w:rPr>
        <w:t>, with E</w:t>
      </w:r>
      <w:r w:rsidR="00826A14">
        <w:rPr>
          <w:vertAlign w:val="subscript"/>
          <w:lang w:val="en-US"/>
        </w:rPr>
        <w:t>F</w:t>
      </w:r>
      <w:r w:rsidR="00826A14">
        <w:rPr>
          <w:lang w:val="en-US"/>
        </w:rPr>
        <w:t xml:space="preserve"> </w:t>
      </w:r>
      <w:r w:rsidR="00E579A3">
        <w:rPr>
          <w:lang w:val="en-US"/>
        </w:rPr>
        <w:t xml:space="preserve">being </w:t>
      </w:r>
      <w:r w:rsidR="00826A14">
        <w:rPr>
          <w:lang w:val="en-US"/>
        </w:rPr>
        <w:t>the Fermi energy</w:t>
      </w:r>
      <w:r>
        <w:rPr>
          <w:lang w:val="en-US"/>
        </w:rPr>
        <w:t>.</w:t>
      </w:r>
      <w:r w:rsidRPr="005631FF">
        <w:rPr>
          <w:vertAlign w:val="superscript"/>
          <w:lang w:val="en-US"/>
        </w:rPr>
        <w:fldChar w:fldCharType="begin"/>
      </w:r>
      <w:r w:rsidRPr="005631FF">
        <w:rPr>
          <w:vertAlign w:val="superscript"/>
          <w:lang w:val="en-US"/>
        </w:rPr>
        <w:instrText xml:space="preserve"> NOTEREF _Ref519343331 \h </w:instrText>
      </w:r>
      <w:r>
        <w:rPr>
          <w:vertAlign w:val="superscript"/>
          <w:lang w:val="en-US"/>
        </w:rPr>
        <w:instrText xml:space="preserve"> \* MERGEFORMAT </w:instrText>
      </w:r>
      <w:r w:rsidRPr="005631FF">
        <w:rPr>
          <w:vertAlign w:val="superscript"/>
          <w:lang w:val="en-US"/>
        </w:rPr>
      </w:r>
      <w:r w:rsidRPr="005631FF">
        <w:rPr>
          <w:vertAlign w:val="superscript"/>
          <w:lang w:val="en-US"/>
        </w:rPr>
        <w:fldChar w:fldCharType="separate"/>
      </w:r>
      <w:r w:rsidR="005E3C6C">
        <w:rPr>
          <w:vertAlign w:val="superscript"/>
          <w:lang w:val="en-US"/>
        </w:rPr>
        <w:t>14</w:t>
      </w:r>
      <w:r w:rsidRPr="005631FF">
        <w:rPr>
          <w:vertAlign w:val="superscript"/>
          <w:lang w:val="en-US"/>
        </w:rPr>
        <w:fldChar w:fldCharType="end"/>
      </w:r>
    </w:p>
    <w:p w14:paraId="0A866F2D" w14:textId="6E1198F5" w:rsidR="009064FC" w:rsidRDefault="009064FC" w:rsidP="003B74D3">
      <w:pPr>
        <w:spacing w:line="480" w:lineRule="auto"/>
        <w:ind w:firstLine="708"/>
        <w:jc w:val="both"/>
        <w:rPr>
          <w:lang w:val="en-US"/>
        </w:rPr>
      </w:pPr>
      <w:r>
        <w:rPr>
          <w:lang w:val="en-US"/>
        </w:rPr>
        <w:t xml:space="preserve">In this expression of the zeroth order Green’s function, one can observe the basic features of a typical transmission spectrum (cf. Fig. </w:t>
      </w:r>
      <w:r w:rsidR="00053166">
        <w:rPr>
          <w:lang w:val="en-US"/>
        </w:rPr>
        <w:t>2</w:t>
      </w:r>
      <w:r>
        <w:rPr>
          <w:lang w:val="en-US"/>
        </w:rPr>
        <w:t>): peaks in</w:t>
      </w:r>
      <w:r w:rsidR="00B86C5F">
        <w:rPr>
          <w:lang w:val="en-US"/>
        </w:rPr>
        <w:t xml:space="preserve"> the</w:t>
      </w:r>
      <w:r>
        <w:rPr>
          <w:lang w:val="en-US"/>
        </w:rPr>
        <w:t xml:space="preserve"> transmission probability </w:t>
      </w:r>
      <w:r w:rsidR="00B86C5F">
        <w:rPr>
          <w:lang w:val="en-US"/>
        </w:rPr>
        <w:t xml:space="preserve">are present </w:t>
      </w:r>
      <w:r>
        <w:rPr>
          <w:lang w:val="en-US"/>
        </w:rPr>
        <w:t xml:space="preserve">around the orbital energies (cf. the transport channels) and the </w:t>
      </w:r>
      <w:r w:rsidR="002B1083">
        <w:rPr>
          <w:lang w:val="en-US"/>
        </w:rPr>
        <w:t>intensity</w:t>
      </w:r>
      <w:r>
        <w:rPr>
          <w:lang w:val="en-US"/>
        </w:rPr>
        <w:t xml:space="preserve"> of the individual peaks is determined by the </w:t>
      </w:r>
      <w:r w:rsidR="000D1DEF">
        <w:rPr>
          <w:lang w:val="en-US"/>
        </w:rPr>
        <w:t xml:space="preserve">product of </w:t>
      </w:r>
      <w:r>
        <w:rPr>
          <w:lang w:val="en-US"/>
        </w:rPr>
        <w:t>orbital coefficients on the contact sites.</w:t>
      </w:r>
      <w:bookmarkStart w:id="11" w:name="_Ref519513689"/>
      <w:r w:rsidR="009A7CDF" w:rsidRPr="009A7CDF">
        <w:rPr>
          <w:vertAlign w:val="superscript"/>
          <w:lang w:val="en-US"/>
        </w:rPr>
        <w:fldChar w:fldCharType="begin"/>
      </w:r>
      <w:r w:rsidR="009A7CDF" w:rsidRPr="009A7CDF">
        <w:rPr>
          <w:vertAlign w:val="superscript"/>
          <w:lang w:val="en-US"/>
        </w:rPr>
        <w:instrText xml:space="preserve"> NOTEREF _Ref521937820 \h </w:instrText>
      </w:r>
      <w:r w:rsidR="009A7CDF">
        <w:rPr>
          <w:vertAlign w:val="superscript"/>
          <w:lang w:val="en-US"/>
        </w:rPr>
        <w:instrText xml:space="preserve"> \* MERGEFORMAT </w:instrText>
      </w:r>
      <w:r w:rsidR="009A7CDF" w:rsidRPr="009A7CDF">
        <w:rPr>
          <w:vertAlign w:val="superscript"/>
          <w:lang w:val="en-US"/>
        </w:rPr>
      </w:r>
      <w:r w:rsidR="009A7CDF" w:rsidRPr="009A7CDF">
        <w:rPr>
          <w:vertAlign w:val="superscript"/>
          <w:lang w:val="en-US"/>
        </w:rPr>
        <w:fldChar w:fldCharType="separate"/>
      </w:r>
      <w:r w:rsidR="005E3C6C">
        <w:rPr>
          <w:vertAlign w:val="superscript"/>
          <w:lang w:val="en-US"/>
        </w:rPr>
        <w:t>8</w:t>
      </w:r>
      <w:r w:rsidR="009A7CDF" w:rsidRPr="009A7CDF">
        <w:rPr>
          <w:vertAlign w:val="superscript"/>
          <w:lang w:val="en-US"/>
        </w:rPr>
        <w:fldChar w:fldCharType="end"/>
      </w:r>
      <w:bookmarkEnd w:id="11"/>
    </w:p>
    <w:p w14:paraId="3762B350" w14:textId="1A585DF5" w:rsidR="0067139C" w:rsidRDefault="00FB0CFB" w:rsidP="00FB0CFB">
      <w:pPr>
        <w:spacing w:line="480" w:lineRule="auto"/>
        <w:ind w:firstLine="708"/>
        <w:jc w:val="center"/>
        <w:rPr>
          <w:lang w:val="en-US"/>
        </w:rPr>
      </w:pPr>
      <w:r>
        <w:rPr>
          <w:noProof/>
        </w:rPr>
        <w:drawing>
          <wp:inline distT="0" distB="0" distL="0" distR="0" wp14:anchorId="24973A1B" wp14:editId="0AA0640F">
            <wp:extent cx="4076873" cy="3063393"/>
            <wp:effectExtent l="0" t="0" r="0" b="10160"/>
            <wp:docPr id="6" name="Afbeelding 6" descr="../../../Figure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_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81308" cy="3066725"/>
                    </a:xfrm>
                    <a:prstGeom prst="rect">
                      <a:avLst/>
                    </a:prstGeom>
                    <a:noFill/>
                    <a:ln>
                      <a:noFill/>
                    </a:ln>
                  </pic:spPr>
                </pic:pic>
              </a:graphicData>
            </a:graphic>
          </wp:inline>
        </w:drawing>
      </w:r>
    </w:p>
    <w:p w14:paraId="075D1E19" w14:textId="50E800AE" w:rsidR="0067139C" w:rsidRPr="005E2752" w:rsidRDefault="0067139C" w:rsidP="001518C9">
      <w:pPr>
        <w:pStyle w:val="Bijschrift"/>
        <w:jc w:val="both"/>
        <w:rPr>
          <w:rFonts w:ascii="Calibri" w:hAnsi="Calibri" w:cs="Times New Roman"/>
          <w:b w:val="0"/>
          <w:iCs/>
          <w:noProof/>
          <w:color w:val="auto"/>
          <w:sz w:val="24"/>
          <w:szCs w:val="24"/>
        </w:rPr>
      </w:pPr>
      <w:r w:rsidRPr="00A91200">
        <w:rPr>
          <w:iCs/>
          <w:color w:val="auto"/>
          <w:sz w:val="24"/>
          <w:szCs w:val="24"/>
        </w:rPr>
        <w:t xml:space="preserve">Figure </w:t>
      </w:r>
      <w:r>
        <w:rPr>
          <w:iCs/>
          <w:color w:val="auto"/>
          <w:sz w:val="24"/>
          <w:szCs w:val="24"/>
        </w:rPr>
        <w:t>2</w:t>
      </w:r>
      <w:r w:rsidRPr="00A91200">
        <w:rPr>
          <w:iCs/>
          <w:color w:val="auto"/>
          <w:sz w:val="24"/>
          <w:szCs w:val="24"/>
        </w:rPr>
        <w:t xml:space="preserve">. </w:t>
      </w:r>
      <w:r>
        <w:rPr>
          <w:b w:val="0"/>
          <w:bCs w:val="0"/>
          <w:iCs/>
          <w:color w:val="auto"/>
          <w:sz w:val="24"/>
          <w:szCs w:val="24"/>
        </w:rPr>
        <w:t xml:space="preserve">A sketch of the transmission spectrum for benzene connected in </w:t>
      </w:r>
      <w:r w:rsidRPr="004465CB">
        <w:rPr>
          <w:b w:val="0"/>
          <w:bCs w:val="0"/>
          <w:i/>
          <w:color w:val="auto"/>
          <w:sz w:val="24"/>
          <w:szCs w:val="24"/>
        </w:rPr>
        <w:t>para</w:t>
      </w:r>
      <w:r>
        <w:rPr>
          <w:b w:val="0"/>
          <w:bCs w:val="0"/>
          <w:iCs/>
          <w:color w:val="auto"/>
          <w:sz w:val="24"/>
          <w:szCs w:val="24"/>
        </w:rPr>
        <w:t xml:space="preserve">-positions in the weak interaction limit, based on Eq. 11 in Ref. 8. t is </w:t>
      </w:r>
      <w:r w:rsidRPr="00536531">
        <w:rPr>
          <w:b w:val="0"/>
          <w:bCs w:val="0"/>
          <w:iCs/>
          <w:color w:val="auto"/>
          <w:sz w:val="24"/>
          <w:szCs w:val="24"/>
        </w:rPr>
        <w:t xml:space="preserve">the </w:t>
      </w:r>
      <w:r>
        <w:rPr>
          <w:b w:val="0"/>
          <w:bCs w:val="0"/>
          <w:iCs/>
          <w:color w:val="auto"/>
          <w:sz w:val="24"/>
          <w:szCs w:val="24"/>
        </w:rPr>
        <w:t>transfer</w:t>
      </w:r>
      <w:r w:rsidRPr="00536531">
        <w:rPr>
          <w:b w:val="0"/>
          <w:bCs w:val="0"/>
          <w:iCs/>
          <w:color w:val="auto"/>
          <w:sz w:val="24"/>
          <w:szCs w:val="24"/>
        </w:rPr>
        <w:t xml:space="preserve"> integral be</w:t>
      </w:r>
      <w:r>
        <w:rPr>
          <w:b w:val="0"/>
          <w:bCs w:val="0"/>
          <w:iCs/>
          <w:color w:val="auto"/>
          <w:sz w:val="24"/>
          <w:szCs w:val="24"/>
        </w:rPr>
        <w:t>tween adjacent 2pπ orbitals in the</w:t>
      </w:r>
      <w:r w:rsidRPr="00536531">
        <w:rPr>
          <w:b w:val="0"/>
          <w:bCs w:val="0"/>
          <w:iCs/>
          <w:color w:val="auto"/>
          <w:sz w:val="24"/>
          <w:szCs w:val="24"/>
        </w:rPr>
        <w:t xml:space="preserve"> benzene ring</w:t>
      </w:r>
      <w:r>
        <w:rPr>
          <w:b w:val="0"/>
          <w:bCs w:val="0"/>
          <w:iCs/>
          <w:color w:val="auto"/>
          <w:sz w:val="24"/>
          <w:szCs w:val="24"/>
        </w:rPr>
        <w:t>. We note that in calculations beyond th</w:t>
      </w:r>
      <w:r w:rsidR="00CD0A6D">
        <w:rPr>
          <w:b w:val="0"/>
          <w:bCs w:val="0"/>
          <w:iCs/>
          <w:color w:val="auto"/>
          <w:sz w:val="24"/>
          <w:szCs w:val="24"/>
        </w:rPr>
        <w:t>e</w:t>
      </w:r>
      <w:r>
        <w:rPr>
          <w:b w:val="0"/>
          <w:bCs w:val="0"/>
          <w:iCs/>
          <w:color w:val="auto"/>
          <w:sz w:val="24"/>
          <w:szCs w:val="24"/>
        </w:rPr>
        <w:t xml:space="preserve"> </w:t>
      </w:r>
      <w:r w:rsidR="001518C9">
        <w:rPr>
          <w:b w:val="0"/>
          <w:bCs w:val="0"/>
          <w:iCs/>
          <w:color w:val="auto"/>
          <w:sz w:val="24"/>
          <w:szCs w:val="24"/>
        </w:rPr>
        <w:t>weak interaction approximation</w:t>
      </w:r>
      <w:r>
        <w:rPr>
          <w:b w:val="0"/>
          <w:bCs w:val="0"/>
          <w:iCs/>
          <w:color w:val="auto"/>
          <w:sz w:val="24"/>
          <w:szCs w:val="24"/>
        </w:rPr>
        <w:t>, the</w:t>
      </w:r>
      <w:r w:rsidRPr="00705BCE">
        <w:rPr>
          <w:b w:val="0"/>
          <w:bCs w:val="0"/>
          <w:iCs/>
          <w:color w:val="auto"/>
          <w:sz w:val="24"/>
          <w:szCs w:val="24"/>
        </w:rPr>
        <w:t xml:space="preserve"> peaks in the transmission spectrum can be shifted significantly</w:t>
      </w:r>
      <w:r>
        <w:rPr>
          <w:b w:val="0"/>
          <w:bCs w:val="0"/>
          <w:iCs/>
          <w:color w:val="auto"/>
          <w:sz w:val="24"/>
          <w:szCs w:val="24"/>
        </w:rPr>
        <w:t xml:space="preserve"> away from the orbital energies of the isolated molecule</w:t>
      </w:r>
      <w:r w:rsidRPr="005E2752">
        <w:rPr>
          <w:rFonts w:ascii="Calibri" w:hAnsi="Calibri"/>
          <w:b w:val="0"/>
          <w:bCs w:val="0"/>
          <w:iCs/>
          <w:color w:val="auto"/>
          <w:sz w:val="24"/>
          <w:szCs w:val="24"/>
        </w:rPr>
        <w:t>.</w:t>
      </w:r>
      <w:r>
        <w:rPr>
          <w:rStyle w:val="Eindnootmarkering"/>
          <w:rFonts w:ascii="Calibri" w:hAnsi="Calibri"/>
          <w:b w:val="0"/>
          <w:bCs w:val="0"/>
          <w:iCs/>
          <w:color w:val="auto"/>
          <w:sz w:val="24"/>
          <w:szCs w:val="24"/>
        </w:rPr>
        <w:endnoteReference w:id="15"/>
      </w:r>
      <w:r w:rsidRPr="005E2752">
        <w:rPr>
          <w:rFonts w:ascii="Calibri" w:hAnsi="Calibri" w:cs="Times New Roman"/>
          <w:b w:val="0"/>
          <w:iCs/>
          <w:noProof/>
          <w:color w:val="auto"/>
          <w:sz w:val="24"/>
          <w:szCs w:val="24"/>
        </w:rPr>
        <w:t xml:space="preserve"> </w:t>
      </w:r>
      <w:r w:rsidR="001518C9">
        <w:rPr>
          <w:rFonts w:ascii="Calibri" w:hAnsi="Calibri" w:cs="Times New Roman"/>
          <w:b w:val="0"/>
          <w:iCs/>
          <w:noProof/>
          <w:color w:val="auto"/>
          <w:sz w:val="24"/>
          <w:szCs w:val="24"/>
        </w:rPr>
        <w:t>O</w:t>
      </w:r>
      <w:r w:rsidRPr="005E2752">
        <w:rPr>
          <w:rFonts w:ascii="Calibri" w:hAnsi="Calibri" w:cs="Times New Roman"/>
          <w:b w:val="0"/>
          <w:iCs/>
          <w:noProof/>
          <w:color w:val="auto"/>
          <w:sz w:val="24"/>
          <w:szCs w:val="24"/>
        </w:rPr>
        <w:t>n th</w:t>
      </w:r>
      <w:r>
        <w:rPr>
          <w:rFonts w:ascii="Calibri" w:hAnsi="Calibri" w:cs="Times New Roman"/>
          <w:b w:val="0"/>
          <w:iCs/>
          <w:noProof/>
          <w:color w:val="auto"/>
          <w:sz w:val="24"/>
          <w:szCs w:val="24"/>
        </w:rPr>
        <w:t>e x-axis, the Fermi level has been taken to be the zero energy for reference.</w:t>
      </w:r>
    </w:p>
    <w:p w14:paraId="6263BBAE" w14:textId="6085C82C" w:rsidR="009064FC" w:rsidRPr="0047495B" w:rsidRDefault="009064FC" w:rsidP="00FB0CFB">
      <w:pPr>
        <w:spacing w:line="480" w:lineRule="auto"/>
        <w:ind w:firstLine="708"/>
        <w:jc w:val="center"/>
        <w:rPr>
          <w:lang w:val="en-US"/>
        </w:rPr>
      </w:pPr>
    </w:p>
    <w:p w14:paraId="2723F41B" w14:textId="73FDD3E6" w:rsidR="009064FC" w:rsidRDefault="009064FC" w:rsidP="00606DE1">
      <w:pPr>
        <w:spacing w:line="480" w:lineRule="auto"/>
        <w:ind w:firstLine="708"/>
        <w:jc w:val="both"/>
        <w:rPr>
          <w:lang w:val="en-US"/>
        </w:rPr>
      </w:pPr>
      <w:r>
        <w:rPr>
          <w:lang w:val="en-US"/>
        </w:rPr>
        <w:t xml:space="preserve">In general, when a molecule is connected into a circuit with the help of thiol-linkers, the Fermi level of the resulting junction will fall somewhere in the range between the peaks </w:t>
      </w:r>
      <w:r>
        <w:rPr>
          <w:lang w:val="en-US"/>
        </w:rPr>
        <w:lastRenderedPageBreak/>
        <w:t>corresponding to the HOMO and LUMO.</w:t>
      </w:r>
      <w:r>
        <w:rPr>
          <w:rStyle w:val="Eindnootmarkering"/>
          <w:lang w:val="en-US"/>
        </w:rPr>
        <w:endnoteReference w:id="16"/>
      </w:r>
      <w:r>
        <w:rPr>
          <w:lang w:val="en-US"/>
        </w:rPr>
        <w:t xml:space="preserve"> As such, around the Fermi energy, the contributions of the transport channels connected to </w:t>
      </w:r>
      <w:r w:rsidR="001F5A1A">
        <w:rPr>
          <w:lang w:val="en-US"/>
        </w:rPr>
        <w:t xml:space="preserve">the </w:t>
      </w:r>
      <w:r>
        <w:rPr>
          <w:lang w:val="en-US"/>
        </w:rPr>
        <w:t xml:space="preserve">HOMO and LUMO will </w:t>
      </w:r>
      <w:r w:rsidR="00B84024">
        <w:rPr>
          <w:lang w:val="en-US"/>
        </w:rPr>
        <w:t>usually</w:t>
      </w:r>
      <w:r w:rsidR="00D26597">
        <w:rPr>
          <w:lang w:val="en-US"/>
        </w:rPr>
        <w:t xml:space="preserve"> </w:t>
      </w:r>
      <w:r>
        <w:rPr>
          <w:lang w:val="en-US"/>
        </w:rPr>
        <w:t>be the most important ones since the denominators in the corresponding terms in Eq. 1 will be the smallest:</w:t>
      </w:r>
      <w:r w:rsidR="004663E3" w:rsidRPr="004663E3">
        <w:rPr>
          <w:rStyle w:val="Eindnootmarkering"/>
          <w:lang w:val="en-US"/>
        </w:rPr>
        <w:t xml:space="preserve"> </w:t>
      </w:r>
      <w:bookmarkStart w:id="12" w:name="_Ref523260312"/>
      <w:r w:rsidR="004663E3">
        <w:rPr>
          <w:rStyle w:val="Eindnootmarkering"/>
          <w:lang w:val="en-US"/>
        </w:rPr>
        <w:endnoteReference w:id="17"/>
      </w:r>
      <w:bookmarkEnd w:id="12"/>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7391"/>
        <w:gridCol w:w="869"/>
      </w:tblGrid>
      <w:tr w:rsidR="009064FC" w:rsidRPr="00955660" w14:paraId="11F23DC3" w14:textId="77777777" w:rsidTr="00A31210">
        <w:tc>
          <w:tcPr>
            <w:tcW w:w="806" w:type="dxa"/>
          </w:tcPr>
          <w:p w14:paraId="295866E2" w14:textId="77777777" w:rsidR="009064FC" w:rsidRPr="00684658" w:rsidRDefault="009064FC" w:rsidP="00A31210">
            <w:pPr>
              <w:spacing w:line="480" w:lineRule="auto"/>
              <w:contextualSpacing/>
              <w:jc w:val="center"/>
              <w:rPr>
                <w:rFonts w:ascii="Times New Roman" w:hAnsi="Times New Roman" w:cs="Times New Roman"/>
                <w:lang w:val="en-US"/>
              </w:rPr>
            </w:pPr>
          </w:p>
        </w:tc>
        <w:tc>
          <w:tcPr>
            <w:tcW w:w="7391" w:type="dxa"/>
            <w:vAlign w:val="center"/>
          </w:tcPr>
          <w:p w14:paraId="3F6FB2FC" w14:textId="77777777" w:rsidR="009064FC" w:rsidRPr="00DB4379" w:rsidRDefault="009B14D3" w:rsidP="00A31210">
            <w:pPr>
              <w:spacing w:line="480" w:lineRule="auto"/>
              <w:jc w:val="center"/>
              <w:rPr>
                <w:b/>
                <w:bCs/>
                <w:sz w:val="36"/>
                <w:szCs w:val="36"/>
                <w:lang w:val="en-US"/>
              </w:rPr>
            </w:pPr>
            <m:oMath>
              <m:sSubSup>
                <m:sSubSupPr>
                  <m:ctrlPr>
                    <w:rPr>
                      <w:rFonts w:ascii="Cambria Math" w:hAnsi="Cambria Math"/>
                      <w:sz w:val="28"/>
                      <w:szCs w:val="28"/>
                    </w:rPr>
                  </m:ctrlPr>
                </m:sSubSupPr>
                <m:e>
                  <m:r>
                    <m:rPr>
                      <m:sty m:val="p"/>
                    </m:rPr>
                    <w:rPr>
                      <w:rFonts w:ascii="Cambria Math" w:hAnsi="Cambria Math"/>
                      <w:sz w:val="28"/>
                      <w:szCs w:val="28"/>
                      <w:lang w:val="en-US"/>
                    </w:rPr>
                    <m:t>G</m:t>
                  </m:r>
                </m:e>
                <m:sub>
                  <m:r>
                    <w:rPr>
                      <w:rFonts w:ascii="Cambria Math" w:hAnsi="Cambria Math"/>
                      <w:sz w:val="28"/>
                      <w:szCs w:val="28"/>
                    </w:rPr>
                    <m:t>rs</m:t>
                  </m:r>
                </m:sub>
                <m:sup>
                  <m:d>
                    <m:dPr>
                      <m:ctrlPr>
                        <w:rPr>
                          <w:rFonts w:ascii="Cambria Math" w:hAnsi="Cambria Math"/>
                          <w:i/>
                          <w:sz w:val="28"/>
                          <w:szCs w:val="28"/>
                          <w:lang w:val="en-US"/>
                        </w:rPr>
                      </m:ctrlPr>
                    </m:dPr>
                    <m:e>
                      <m:r>
                        <w:rPr>
                          <w:rFonts w:ascii="Cambria Math" w:hAnsi="Cambria Math"/>
                          <w:sz w:val="28"/>
                          <w:szCs w:val="28"/>
                          <w:lang w:val="en-US"/>
                        </w:rPr>
                        <m:t>0</m:t>
                      </m:r>
                    </m:e>
                  </m:d>
                  <m:r>
                    <w:rPr>
                      <w:rFonts w:ascii="Cambria Math" w:hAnsi="Cambria Math"/>
                      <w:sz w:val="28"/>
                      <w:szCs w:val="28"/>
                      <w:lang w:val="en-US"/>
                    </w:rPr>
                    <m:t>R/A</m:t>
                  </m:r>
                </m:sup>
              </m:sSubSup>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m:t>
                      </m:r>
                    </m:sub>
                  </m:sSub>
                </m:e>
              </m:d>
              <m:r>
                <w:rPr>
                  <w:rFonts w:ascii="Cambria Math" w:hAnsi="Cambria Math"/>
                  <w:sz w:val="28"/>
                  <w:szCs w:val="28"/>
                  <w:lang w:val="en-US"/>
                </w:rPr>
                <m:t xml:space="preserve">→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rHOMO</m:t>
                      </m:r>
                    </m:sub>
                  </m:sSub>
                  <m:sSubSup>
                    <m:sSubSupPr>
                      <m:ctrlPr>
                        <w:rPr>
                          <w:rFonts w:ascii="Cambria Math" w:hAnsi="Cambria Math"/>
                          <w:i/>
                          <w:sz w:val="28"/>
                          <w:szCs w:val="28"/>
                        </w:rPr>
                      </m:ctrlPr>
                    </m:sSubSupPr>
                    <m:e>
                      <m:r>
                        <w:rPr>
                          <w:rFonts w:ascii="Cambria Math" w:hAnsi="Cambria Math"/>
                          <w:sz w:val="28"/>
                          <w:szCs w:val="28"/>
                        </w:rPr>
                        <m:t>C</m:t>
                      </m:r>
                    </m:e>
                    <m:sub>
                      <m:r>
                        <w:rPr>
                          <w:rFonts w:ascii="Cambria Math" w:hAnsi="Cambria Math"/>
                          <w:sz w:val="28"/>
                          <w:szCs w:val="28"/>
                        </w:rPr>
                        <m:t>sHOMO</m:t>
                      </m:r>
                    </m:sub>
                    <m:sup>
                      <m:r>
                        <w:rPr>
                          <w:rFonts w:ascii="Cambria Math" w:hAnsi="Cambria Math"/>
                          <w:sz w:val="28"/>
                          <w:szCs w:val="28"/>
                          <w:lang w:val="en-US"/>
                        </w:rPr>
                        <m:t>*</m:t>
                      </m:r>
                    </m:sup>
                  </m:sSubSup>
                </m:num>
                <m:den>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ϵ</m:t>
                      </m:r>
                    </m:e>
                    <m:sub>
                      <m:r>
                        <w:rPr>
                          <w:rFonts w:ascii="Cambria Math" w:hAnsi="Cambria Math"/>
                          <w:sz w:val="28"/>
                          <w:szCs w:val="28"/>
                          <w:lang w:val="en-US"/>
                        </w:rPr>
                        <m:t>HOMO</m:t>
                      </m:r>
                    </m:sub>
                  </m:sSub>
                </m:den>
              </m:f>
              <m:r>
                <w:rPr>
                  <w:rFonts w:ascii="Cambria Math" w:hAnsi="Cambria Math"/>
                  <w:sz w:val="28"/>
                  <w:szCs w:val="28"/>
                  <w:lang w:val="en-US"/>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rLUMO</m:t>
                      </m:r>
                    </m:sub>
                  </m:sSub>
                  <m:sSubSup>
                    <m:sSubSupPr>
                      <m:ctrlPr>
                        <w:rPr>
                          <w:rFonts w:ascii="Cambria Math" w:hAnsi="Cambria Math"/>
                          <w:i/>
                          <w:sz w:val="28"/>
                          <w:szCs w:val="28"/>
                        </w:rPr>
                      </m:ctrlPr>
                    </m:sSubSupPr>
                    <m:e>
                      <m:r>
                        <w:rPr>
                          <w:rFonts w:ascii="Cambria Math" w:hAnsi="Cambria Math"/>
                          <w:sz w:val="28"/>
                          <w:szCs w:val="28"/>
                        </w:rPr>
                        <m:t>C</m:t>
                      </m:r>
                    </m:e>
                    <m:sub>
                      <m:r>
                        <w:rPr>
                          <w:rFonts w:ascii="Cambria Math" w:hAnsi="Cambria Math"/>
                          <w:sz w:val="28"/>
                          <w:szCs w:val="28"/>
                        </w:rPr>
                        <m:t>sLUMO</m:t>
                      </m:r>
                    </m:sub>
                    <m:sup>
                      <m:r>
                        <w:rPr>
                          <w:rFonts w:ascii="Cambria Math" w:hAnsi="Cambria Math"/>
                          <w:sz w:val="28"/>
                          <w:szCs w:val="28"/>
                          <w:lang w:val="en-US"/>
                        </w:rPr>
                        <m:t>*</m:t>
                      </m:r>
                    </m:sup>
                  </m:sSubSup>
                </m:num>
                <m:den>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ϵ</m:t>
                      </m:r>
                    </m:e>
                    <m:sub>
                      <m:r>
                        <w:rPr>
                          <w:rFonts w:ascii="Cambria Math" w:hAnsi="Cambria Math"/>
                          <w:sz w:val="28"/>
                          <w:szCs w:val="28"/>
                          <w:lang w:val="en-US"/>
                        </w:rPr>
                        <m:t>LUMO</m:t>
                      </m:r>
                    </m:sub>
                  </m:sSub>
                </m:den>
              </m:f>
            </m:oMath>
            <w:r w:rsidR="009064FC" w:rsidRPr="00DB4379">
              <w:rPr>
                <w:sz w:val="28"/>
                <w:szCs w:val="28"/>
                <w:lang w:val="en-US"/>
              </w:rPr>
              <w:t xml:space="preserve"> </w:t>
            </w:r>
            <m:oMath>
              <m:r>
                <w:rPr>
                  <w:rFonts w:ascii="Cambria Math" w:hAnsi="Cambria Math"/>
                  <w:lang w:val="en-US"/>
                </w:rPr>
                <m:t>,</m:t>
              </m:r>
            </m:oMath>
          </w:p>
        </w:tc>
        <w:tc>
          <w:tcPr>
            <w:tcW w:w="869" w:type="dxa"/>
            <w:vAlign w:val="center"/>
          </w:tcPr>
          <w:p w14:paraId="3B3240F1" w14:textId="77777777" w:rsidR="009064FC" w:rsidRPr="00684658" w:rsidRDefault="009064FC" w:rsidP="00A31210">
            <w:pPr>
              <w:spacing w:line="480" w:lineRule="auto"/>
              <w:contextualSpacing/>
              <w:jc w:val="both"/>
              <w:rPr>
                <w:rFonts w:ascii="Times New Roman" w:hAnsi="Times New Roman" w:cs="Times New Roman"/>
                <w:lang w:val="en-US"/>
              </w:rPr>
            </w:pPr>
            <w:r w:rsidRPr="00684658">
              <w:rPr>
                <w:rFonts w:ascii="Times New Roman" w:hAnsi="Times New Roman" w:cs="Times New Roman"/>
                <w:lang w:val="en-US"/>
              </w:rPr>
              <w:t>(</w:t>
            </w:r>
            <w:r>
              <w:rPr>
                <w:rFonts w:ascii="Times New Roman" w:hAnsi="Times New Roman" w:cs="Times New Roman"/>
                <w:lang w:val="en-US"/>
              </w:rPr>
              <w:t>2</w:t>
            </w:r>
            <w:r w:rsidRPr="00684658">
              <w:rPr>
                <w:rFonts w:ascii="Times New Roman" w:hAnsi="Times New Roman" w:cs="Times New Roman"/>
                <w:lang w:val="en-US"/>
              </w:rPr>
              <w:t>)</w:t>
            </w:r>
          </w:p>
        </w:tc>
      </w:tr>
    </w:tbl>
    <w:p w14:paraId="15381E03" w14:textId="4D709CF5" w:rsidR="009064FC" w:rsidRDefault="00F524EA" w:rsidP="00D524C2">
      <w:pPr>
        <w:spacing w:line="480" w:lineRule="auto"/>
        <w:ind w:firstLine="708"/>
        <w:jc w:val="both"/>
        <w:rPr>
          <w:lang w:val="en-US"/>
        </w:rPr>
      </w:pPr>
      <w:r>
        <w:rPr>
          <w:lang w:val="en-US"/>
        </w:rPr>
        <w:t>It is generally known that any conjugated system that is extended will lead to a decreasing HOMO-LUMO gap</w:t>
      </w:r>
      <w:r w:rsidR="000E77FB">
        <w:rPr>
          <w:lang w:val="en-US"/>
        </w:rPr>
        <w:t>, which may converge to a finite value</w:t>
      </w:r>
      <w:r>
        <w:rPr>
          <w:lang w:val="en-US"/>
        </w:rPr>
        <w:t>.</w:t>
      </w:r>
      <w:r w:rsidR="009064FC">
        <w:rPr>
          <w:rStyle w:val="Eindnootmarkering"/>
          <w:lang w:val="en-US"/>
        </w:rPr>
        <w:endnoteReference w:id="18"/>
      </w:r>
      <w:r w:rsidR="009064FC">
        <w:rPr>
          <w:lang w:val="en-US"/>
        </w:rPr>
        <w:t xml:space="preserve"> </w:t>
      </w:r>
      <w:r>
        <w:rPr>
          <w:lang w:val="en-US"/>
        </w:rPr>
        <w:t xml:space="preserve">As such, given Eq. </w:t>
      </w:r>
      <w:r w:rsidR="00976314">
        <w:rPr>
          <w:lang w:val="en-US"/>
        </w:rPr>
        <w:t>2</w:t>
      </w:r>
      <w:r>
        <w:rPr>
          <w:lang w:val="en-US"/>
        </w:rPr>
        <w:t>, one can wonder</w:t>
      </w:r>
      <w:r w:rsidR="00B86C5F">
        <w:rPr>
          <w:lang w:val="en-US"/>
        </w:rPr>
        <w:t xml:space="preserve"> the following</w:t>
      </w:r>
      <w:r w:rsidR="00E90225">
        <w:rPr>
          <w:lang w:val="en-US"/>
        </w:rPr>
        <w:t xml:space="preserve">: </w:t>
      </w:r>
      <w:r>
        <w:rPr>
          <w:lang w:val="en-US"/>
        </w:rPr>
        <w:t>why are positive attenuation factors, i.e. a decreasing conductance with length, obtained for most conventional molecular wires?</w:t>
      </w:r>
      <w:r>
        <w:rPr>
          <w:rStyle w:val="Eindnootmarkering"/>
          <w:lang w:val="en-US"/>
        </w:rPr>
        <w:endnoteReference w:id="19"/>
      </w:r>
      <w:r>
        <w:rPr>
          <w:lang w:val="en-US"/>
        </w:rPr>
        <w:t xml:space="preserve"> The only logical explanation is that the orbital coefficients on the contact sites usually fall off more quickly than that the HOMO and LUMO energies approach the Fermi level (the orbitals become more “spread out” as the size of the system increases).</w:t>
      </w:r>
      <w:r w:rsidR="009A7CDF" w:rsidRPr="009A7CDF">
        <w:rPr>
          <w:vertAlign w:val="superscript"/>
          <w:lang w:val="en-US"/>
        </w:rPr>
        <w:fldChar w:fldCharType="begin"/>
      </w:r>
      <w:r w:rsidR="009A7CDF" w:rsidRPr="009A7CDF">
        <w:rPr>
          <w:vertAlign w:val="superscript"/>
          <w:lang w:val="en-US"/>
        </w:rPr>
        <w:instrText xml:space="preserve"> NOTEREF _Ref521937820 \h </w:instrText>
      </w:r>
      <w:r w:rsidR="009A7CDF">
        <w:rPr>
          <w:vertAlign w:val="superscript"/>
          <w:lang w:val="en-US"/>
        </w:rPr>
        <w:instrText xml:space="preserve"> \* MERGEFORMAT </w:instrText>
      </w:r>
      <w:r w:rsidR="009A7CDF" w:rsidRPr="009A7CDF">
        <w:rPr>
          <w:vertAlign w:val="superscript"/>
          <w:lang w:val="en-US"/>
        </w:rPr>
      </w:r>
      <w:r w:rsidR="009A7CDF" w:rsidRPr="009A7CDF">
        <w:rPr>
          <w:vertAlign w:val="superscript"/>
          <w:lang w:val="en-US"/>
        </w:rPr>
        <w:fldChar w:fldCharType="separate"/>
      </w:r>
      <w:r w:rsidR="005E3C6C">
        <w:rPr>
          <w:vertAlign w:val="superscript"/>
          <w:lang w:val="en-US"/>
        </w:rPr>
        <w:t>8</w:t>
      </w:r>
      <w:r w:rsidR="009A7CDF" w:rsidRPr="009A7CDF">
        <w:rPr>
          <w:vertAlign w:val="superscript"/>
          <w:lang w:val="en-US"/>
        </w:rPr>
        <w:fldChar w:fldCharType="end"/>
      </w:r>
      <w:r w:rsidR="00642BC2">
        <w:rPr>
          <w:vertAlign w:val="superscript"/>
          <w:lang w:val="en-US"/>
        </w:rPr>
        <w:t>,</w:t>
      </w:r>
      <w:r w:rsidR="004663E3">
        <w:rPr>
          <w:lang w:val="en-US"/>
        </w:rPr>
        <w:fldChar w:fldCharType="begin"/>
      </w:r>
      <w:r w:rsidR="004663E3">
        <w:rPr>
          <w:vertAlign w:val="superscript"/>
          <w:lang w:val="en-US"/>
        </w:rPr>
        <w:instrText xml:space="preserve"> NOTEREF _Ref523260312 \h </w:instrText>
      </w:r>
      <w:r w:rsidR="004663E3">
        <w:rPr>
          <w:lang w:val="en-US"/>
        </w:rPr>
      </w:r>
      <w:r w:rsidR="004663E3">
        <w:rPr>
          <w:lang w:val="en-US"/>
        </w:rPr>
        <w:fldChar w:fldCharType="separate"/>
      </w:r>
      <w:r w:rsidR="005E3C6C">
        <w:rPr>
          <w:vertAlign w:val="superscript"/>
          <w:lang w:val="en-US"/>
        </w:rPr>
        <w:t>17</w:t>
      </w:r>
      <w:r w:rsidR="004663E3">
        <w:rPr>
          <w:lang w:val="en-US"/>
        </w:rPr>
        <w:fldChar w:fldCharType="end"/>
      </w:r>
      <w:r w:rsidR="009064FC">
        <w:rPr>
          <w:lang w:val="en-US"/>
        </w:rPr>
        <w:t xml:space="preserve"> </w:t>
      </w:r>
      <w:r w:rsidR="004663E3">
        <w:rPr>
          <w:lang w:val="en-US"/>
        </w:rPr>
        <w:t xml:space="preserve">As such, </w:t>
      </w:r>
      <w:r w:rsidR="00D501E6">
        <w:rPr>
          <w:lang w:val="en-US"/>
        </w:rPr>
        <w:t>anti-Ohmic behavior requires not only the HOMO-LUMO gap to be</w:t>
      </w:r>
      <w:r w:rsidR="00477C26">
        <w:rPr>
          <w:lang w:val="en-US"/>
        </w:rPr>
        <w:t>come</w:t>
      </w:r>
      <w:r w:rsidR="00D501E6">
        <w:rPr>
          <w:lang w:val="en-US"/>
        </w:rPr>
        <w:t xml:space="preserve"> small</w:t>
      </w:r>
      <w:r w:rsidR="00477C26">
        <w:rPr>
          <w:lang w:val="en-US"/>
        </w:rPr>
        <w:t>er as the length of the wire increases</w:t>
      </w:r>
      <w:r w:rsidR="009064FC">
        <w:rPr>
          <w:lang w:val="en-US"/>
        </w:rPr>
        <w:t xml:space="preserve">, but </w:t>
      </w:r>
      <w:r w:rsidR="00743815">
        <w:rPr>
          <w:lang w:val="en-US"/>
        </w:rPr>
        <w:t>likewise importantly,</w:t>
      </w:r>
      <w:r w:rsidR="009064FC">
        <w:rPr>
          <w:lang w:val="en-US"/>
        </w:rPr>
        <w:t xml:space="preserve"> </w:t>
      </w:r>
      <w:r w:rsidR="00336338">
        <w:rPr>
          <w:lang w:val="en-US"/>
        </w:rPr>
        <w:t>the amplitudes</w:t>
      </w:r>
      <w:r w:rsidR="009064FC">
        <w:rPr>
          <w:lang w:val="en-US"/>
        </w:rPr>
        <w:t xml:space="preserve"> </w:t>
      </w:r>
      <w:r w:rsidR="00D501E6">
        <w:rPr>
          <w:lang w:val="en-US"/>
        </w:rPr>
        <w:t xml:space="preserve">of these orbitals </w:t>
      </w:r>
      <w:r w:rsidR="009064FC">
        <w:rPr>
          <w:lang w:val="en-US"/>
        </w:rPr>
        <w:t xml:space="preserve">on the </w:t>
      </w:r>
      <w:r w:rsidR="00983FAD">
        <w:rPr>
          <w:lang w:val="en-US"/>
        </w:rPr>
        <w:t xml:space="preserve">two </w:t>
      </w:r>
      <w:r w:rsidR="009064FC">
        <w:rPr>
          <w:lang w:val="en-US"/>
        </w:rPr>
        <w:t xml:space="preserve">contact </w:t>
      </w:r>
      <w:r w:rsidR="00983FAD">
        <w:rPr>
          <w:lang w:val="en-US"/>
        </w:rPr>
        <w:t>sites</w:t>
      </w:r>
      <w:r w:rsidR="00C34E15">
        <w:rPr>
          <w:lang w:val="en-US"/>
        </w:rPr>
        <w:t xml:space="preserve"> </w:t>
      </w:r>
      <w:r w:rsidR="00632EA2">
        <w:rPr>
          <w:lang w:val="en-US"/>
        </w:rPr>
        <w:t xml:space="preserve">need to </w:t>
      </w:r>
      <w:r w:rsidR="00D524C2">
        <w:rPr>
          <w:lang w:val="en-US"/>
        </w:rPr>
        <w:t>remain/become</w:t>
      </w:r>
      <w:bookmarkStart w:id="13" w:name="_GoBack"/>
      <w:bookmarkEnd w:id="13"/>
      <w:r w:rsidR="00C34E15">
        <w:rPr>
          <w:lang w:val="en-US"/>
        </w:rPr>
        <w:t xml:space="preserve"> substantial</w:t>
      </w:r>
      <w:r w:rsidR="00983FAD">
        <w:rPr>
          <w:lang w:val="en-US"/>
        </w:rPr>
        <w:t>. With the</w:t>
      </w:r>
      <w:r w:rsidR="006B0590">
        <w:rPr>
          <w:lang w:val="en-US"/>
        </w:rPr>
        <w:t>se</w:t>
      </w:r>
      <w:r w:rsidR="00983FAD">
        <w:rPr>
          <w:lang w:val="en-US"/>
        </w:rPr>
        <w:t xml:space="preserve"> two conditions being satisfied, </w:t>
      </w:r>
      <w:r w:rsidR="009064FC">
        <w:rPr>
          <w:lang w:val="en-US"/>
        </w:rPr>
        <w:t xml:space="preserve">the zeroth order Green’s function at the Fermi energy increases in magnitude. </w:t>
      </w:r>
    </w:p>
    <w:p w14:paraId="19819FD5" w14:textId="585F1278" w:rsidR="0096728F" w:rsidRDefault="00E253AE" w:rsidP="008A07D8">
      <w:pPr>
        <w:spacing w:line="480" w:lineRule="auto"/>
        <w:ind w:firstLine="708"/>
        <w:jc w:val="both"/>
        <w:rPr>
          <w:iCs/>
          <w:lang w:val="en-US"/>
        </w:rPr>
      </w:pPr>
      <w:r>
        <w:rPr>
          <w:lang w:val="en-US"/>
        </w:rPr>
        <w:t>In our previous work</w:t>
      </w:r>
      <w:r w:rsidR="00D70044">
        <w:rPr>
          <w:lang w:val="en-US"/>
        </w:rPr>
        <w:t>s</w:t>
      </w:r>
      <w:r>
        <w:rPr>
          <w:lang w:val="en-US"/>
        </w:rPr>
        <w:t>,</w:t>
      </w:r>
      <w:r w:rsidR="00D70044" w:rsidRPr="009A7CDF">
        <w:rPr>
          <w:vertAlign w:val="superscript"/>
          <w:lang w:val="en-US"/>
        </w:rPr>
        <w:fldChar w:fldCharType="begin"/>
      </w:r>
      <w:r w:rsidR="00D70044" w:rsidRPr="009A7CDF">
        <w:rPr>
          <w:vertAlign w:val="superscript"/>
          <w:lang w:val="en-US"/>
        </w:rPr>
        <w:instrText xml:space="preserve"> NOTEREF _Ref521937820 \h </w:instrText>
      </w:r>
      <w:r w:rsidR="00D70044">
        <w:rPr>
          <w:vertAlign w:val="superscript"/>
          <w:lang w:val="en-US"/>
        </w:rPr>
        <w:instrText xml:space="preserve"> \* MERGEFORMAT </w:instrText>
      </w:r>
      <w:r w:rsidR="00D70044" w:rsidRPr="009A7CDF">
        <w:rPr>
          <w:vertAlign w:val="superscript"/>
          <w:lang w:val="en-US"/>
        </w:rPr>
      </w:r>
      <w:r w:rsidR="00D70044" w:rsidRPr="009A7CDF">
        <w:rPr>
          <w:vertAlign w:val="superscript"/>
          <w:lang w:val="en-US"/>
        </w:rPr>
        <w:fldChar w:fldCharType="separate"/>
      </w:r>
      <w:r w:rsidR="005E3C6C">
        <w:rPr>
          <w:vertAlign w:val="superscript"/>
          <w:lang w:val="en-US"/>
        </w:rPr>
        <w:t>8</w:t>
      </w:r>
      <w:r w:rsidR="00D70044" w:rsidRPr="009A7CDF">
        <w:rPr>
          <w:vertAlign w:val="superscript"/>
          <w:lang w:val="en-US"/>
        </w:rPr>
        <w:fldChar w:fldCharType="end"/>
      </w:r>
      <w:r w:rsidR="00D70044">
        <w:rPr>
          <w:vertAlign w:val="superscript"/>
          <w:lang w:val="en-US"/>
        </w:rPr>
        <w:t>,</w:t>
      </w:r>
      <w:r w:rsidR="00D70044">
        <w:rPr>
          <w:vertAlign w:val="superscript"/>
          <w:lang w:val="en-US"/>
        </w:rPr>
        <w:fldChar w:fldCharType="begin"/>
      </w:r>
      <w:r w:rsidR="00D70044">
        <w:rPr>
          <w:vertAlign w:val="superscript"/>
          <w:lang w:val="en-US"/>
        </w:rPr>
        <w:instrText xml:space="preserve"> NOTEREF _Ref521937644 \h </w:instrText>
      </w:r>
      <w:r w:rsidR="0096728F">
        <w:rPr>
          <w:vertAlign w:val="superscript"/>
          <w:lang w:val="en-US"/>
        </w:rPr>
        <w:instrText xml:space="preserve"> \* MERGEFORMAT </w:instrText>
      </w:r>
      <w:r w:rsidR="00D70044">
        <w:rPr>
          <w:vertAlign w:val="superscript"/>
          <w:lang w:val="en-US"/>
        </w:rPr>
      </w:r>
      <w:r w:rsidR="00D70044">
        <w:rPr>
          <w:vertAlign w:val="superscript"/>
          <w:lang w:val="en-US"/>
        </w:rPr>
        <w:fldChar w:fldCharType="separate"/>
      </w:r>
      <w:r w:rsidR="005E3C6C">
        <w:rPr>
          <w:vertAlign w:val="superscript"/>
          <w:lang w:val="en-US"/>
        </w:rPr>
        <w:t>9</w:t>
      </w:r>
      <w:r w:rsidR="00D70044">
        <w:rPr>
          <w:vertAlign w:val="superscript"/>
          <w:lang w:val="en-US"/>
        </w:rPr>
        <w:fldChar w:fldCharType="end"/>
      </w:r>
      <w:r>
        <w:rPr>
          <w:lang w:val="en-US"/>
        </w:rPr>
        <w:t xml:space="preserve"> we – </w:t>
      </w:r>
      <w:r w:rsidR="009C2E2E">
        <w:rPr>
          <w:lang w:val="en-US"/>
        </w:rPr>
        <w:t>together with Roald Hoffmann and Stijn</w:t>
      </w:r>
      <w:r w:rsidR="00D7118E">
        <w:rPr>
          <w:lang w:val="en-US"/>
        </w:rPr>
        <w:t xml:space="preserve"> Fias</w:t>
      </w:r>
      <w:r>
        <w:rPr>
          <w:lang w:val="en-US"/>
        </w:rPr>
        <w:t xml:space="preserve"> –</w:t>
      </w:r>
      <w:r w:rsidR="009C2E2E">
        <w:rPr>
          <w:lang w:val="en-US"/>
        </w:rPr>
        <w:t xml:space="preserve"> have considered different ways to increase the conductance of molecules and found it to be productive to link the transmission pro</w:t>
      </w:r>
      <w:r w:rsidR="00A97450">
        <w:rPr>
          <w:lang w:val="en-US"/>
        </w:rPr>
        <w:t xml:space="preserve">bability around the Fermi level </w:t>
      </w:r>
      <w:r w:rsidR="009C2E2E">
        <w:rPr>
          <w:lang w:val="en-US"/>
        </w:rPr>
        <w:t>to the concept of “diradical character”</w:t>
      </w:r>
      <w:r w:rsidR="00150DE2">
        <w:rPr>
          <w:lang w:val="en-US"/>
        </w:rPr>
        <w:t>:</w:t>
      </w:r>
      <w:r w:rsidR="000F5B46" w:rsidRPr="0028191E">
        <w:rPr>
          <w:rStyle w:val="Eindnootmarkering"/>
          <w:lang w:val="en-US"/>
        </w:rPr>
        <w:endnoteReference w:id="20"/>
      </w:r>
      <w:r w:rsidR="000F5B46" w:rsidRPr="0028191E">
        <w:rPr>
          <w:vertAlign w:val="superscript"/>
          <w:lang w:val="en-US"/>
        </w:rPr>
        <w:t>,</w:t>
      </w:r>
      <w:r w:rsidR="008A4D57" w:rsidRPr="0028191E">
        <w:rPr>
          <w:rStyle w:val="Eindnootmarkering"/>
          <w:lang w:val="en-US"/>
        </w:rPr>
        <w:endnoteReference w:id="21"/>
      </w:r>
      <w:r w:rsidR="008A4D57" w:rsidRPr="0028191E">
        <w:rPr>
          <w:vertAlign w:val="superscript"/>
          <w:lang w:val="en-US"/>
        </w:rPr>
        <w:t>,</w:t>
      </w:r>
      <w:r w:rsidR="009A7CDF" w:rsidRPr="0028191E">
        <w:rPr>
          <w:rStyle w:val="Eindnootmarkering"/>
          <w:lang w:val="en-US"/>
        </w:rPr>
        <w:endnoteReference w:id="22"/>
      </w:r>
      <w:r w:rsidR="0028191E">
        <w:rPr>
          <w:lang w:val="en-US"/>
        </w:rPr>
        <w:t xml:space="preserve"> </w:t>
      </w:r>
      <w:r w:rsidR="009C2E2E">
        <w:rPr>
          <w:lang w:val="en-US"/>
        </w:rPr>
        <w:t>an increasing weight of diradical resonance structures with the radical centers located on the contact positions in the resonance hybrid can be connected to a decreasing HOMO-LUMO gap and a localization of these orbitals on the desired positions and thus</w:t>
      </w:r>
      <w:r w:rsidR="00434B44">
        <w:rPr>
          <w:lang w:val="en-US"/>
        </w:rPr>
        <w:t xml:space="preserve">, according to Eq. 2, </w:t>
      </w:r>
      <w:r w:rsidR="009C2E2E">
        <w:rPr>
          <w:lang w:val="en-US"/>
        </w:rPr>
        <w:t xml:space="preserve"> </w:t>
      </w:r>
      <w:r w:rsidR="00D7118E">
        <w:rPr>
          <w:lang w:val="en-US"/>
        </w:rPr>
        <w:t xml:space="preserve">to </w:t>
      </w:r>
      <w:r w:rsidR="009C2E2E">
        <w:rPr>
          <w:lang w:val="en-US"/>
        </w:rPr>
        <w:t>an increasing conductance under small bias.</w:t>
      </w:r>
      <w:r w:rsidR="0096728F">
        <w:rPr>
          <w:lang w:val="en-US"/>
        </w:rPr>
        <w:t xml:space="preserve"> Let us focus on </w:t>
      </w:r>
      <w:r w:rsidR="0096728F">
        <w:rPr>
          <w:lang w:val="en-US"/>
        </w:rPr>
        <w:lastRenderedPageBreak/>
        <w:t xml:space="preserve">the simple example in Fig. </w:t>
      </w:r>
      <w:r w:rsidR="008A07D8">
        <w:rPr>
          <w:lang w:val="en-US"/>
        </w:rPr>
        <w:t>3</w:t>
      </w:r>
      <w:r w:rsidR="0096728F">
        <w:rPr>
          <w:lang w:val="en-US"/>
        </w:rPr>
        <w:t xml:space="preserve">a. </w:t>
      </w:r>
      <w:r w:rsidR="0096728F" w:rsidRPr="0096728F">
        <w:rPr>
          <w:iCs/>
          <w:lang w:val="en-US"/>
        </w:rPr>
        <w:t>Since the depicted diradical resonance structure for benzene (upper right</w:t>
      </w:r>
      <w:r w:rsidR="009D5560">
        <w:rPr>
          <w:iCs/>
          <w:lang w:val="en-US"/>
        </w:rPr>
        <w:t xml:space="preserve"> of the panel</w:t>
      </w:r>
      <w:r w:rsidR="0096728F" w:rsidRPr="0096728F">
        <w:rPr>
          <w:iCs/>
          <w:lang w:val="en-US"/>
        </w:rPr>
        <w:t>) can be expected to have a lower weight in its resonance hybrid than the depicted diradical resonance</w:t>
      </w:r>
      <w:r w:rsidR="006F5D40">
        <w:rPr>
          <w:iCs/>
          <w:lang w:val="en-US"/>
        </w:rPr>
        <w:t xml:space="preserve"> structure</w:t>
      </w:r>
      <w:r w:rsidR="0096728F" w:rsidRPr="0096728F">
        <w:rPr>
          <w:iCs/>
          <w:lang w:val="en-US"/>
        </w:rPr>
        <w:t xml:space="preserve"> for </w:t>
      </w:r>
      <w:r w:rsidR="0096728F" w:rsidRPr="0096728F">
        <w:rPr>
          <w:i/>
          <w:lang w:val="en-US"/>
        </w:rPr>
        <w:t>p</w:t>
      </w:r>
      <w:r w:rsidR="0096728F" w:rsidRPr="0096728F">
        <w:rPr>
          <w:iCs/>
          <w:lang w:val="en-US"/>
        </w:rPr>
        <w:t xml:space="preserve">-quinodimethane (lower right), benzene will exhibit </w:t>
      </w:r>
      <w:r w:rsidR="007F281D">
        <w:rPr>
          <w:iCs/>
          <w:lang w:val="en-US"/>
        </w:rPr>
        <w:t>a</w:t>
      </w:r>
      <w:r w:rsidR="007F281D" w:rsidRPr="0096728F">
        <w:rPr>
          <w:iCs/>
          <w:lang w:val="en-US"/>
        </w:rPr>
        <w:t xml:space="preserve"> lowe</w:t>
      </w:r>
      <w:r w:rsidR="007F281D">
        <w:rPr>
          <w:iCs/>
          <w:lang w:val="en-US"/>
        </w:rPr>
        <w:t>r</w:t>
      </w:r>
      <w:r w:rsidR="007F281D" w:rsidRPr="0096728F">
        <w:rPr>
          <w:iCs/>
          <w:lang w:val="en-US"/>
        </w:rPr>
        <w:t xml:space="preserve"> </w:t>
      </w:r>
      <w:r w:rsidR="0096728F" w:rsidRPr="0096728F">
        <w:rPr>
          <w:iCs/>
          <w:lang w:val="en-US"/>
        </w:rPr>
        <w:t>conductance under small bias when contacts are connected</w:t>
      </w:r>
      <w:r w:rsidR="0096728F">
        <w:rPr>
          <w:iCs/>
          <w:lang w:val="en-US"/>
        </w:rPr>
        <w:t xml:space="preserve"> </w:t>
      </w:r>
      <w:r w:rsidR="0096728F" w:rsidRPr="0096728F">
        <w:rPr>
          <w:iCs/>
          <w:lang w:val="en-US"/>
        </w:rPr>
        <w:t>in the corresponding positions, as depicted on the left-hand side of the figure by arrows</w:t>
      </w:r>
      <w:r w:rsidR="004A3ADB">
        <w:rPr>
          <w:iCs/>
          <w:lang w:val="en-US"/>
        </w:rPr>
        <w:t>.</w:t>
      </w:r>
      <w:r w:rsidR="004A3ADB" w:rsidRPr="004A3ADB">
        <w:rPr>
          <w:iCs/>
          <w:vertAlign w:val="superscript"/>
          <w:lang w:val="en-US"/>
        </w:rPr>
        <w:fldChar w:fldCharType="begin"/>
      </w:r>
      <w:r w:rsidR="004A3ADB" w:rsidRPr="004A3ADB">
        <w:rPr>
          <w:iCs/>
          <w:vertAlign w:val="superscript"/>
          <w:lang w:val="en-US"/>
        </w:rPr>
        <w:instrText xml:space="preserve"> NOTEREF _Ref521937820 \h </w:instrText>
      </w:r>
      <w:r w:rsidR="004A3ADB">
        <w:rPr>
          <w:iCs/>
          <w:vertAlign w:val="superscript"/>
          <w:lang w:val="en-US"/>
        </w:rPr>
        <w:instrText xml:space="preserve"> \* MERGEFORMAT </w:instrText>
      </w:r>
      <w:r w:rsidR="004A3ADB" w:rsidRPr="004A3ADB">
        <w:rPr>
          <w:iCs/>
          <w:vertAlign w:val="superscript"/>
          <w:lang w:val="en-US"/>
        </w:rPr>
      </w:r>
      <w:r w:rsidR="004A3ADB" w:rsidRPr="004A3ADB">
        <w:rPr>
          <w:iCs/>
          <w:vertAlign w:val="superscript"/>
          <w:lang w:val="en-US"/>
        </w:rPr>
        <w:fldChar w:fldCharType="separate"/>
      </w:r>
      <w:r w:rsidR="005E3C6C">
        <w:rPr>
          <w:iCs/>
          <w:vertAlign w:val="superscript"/>
          <w:lang w:val="en-US"/>
        </w:rPr>
        <w:t>8</w:t>
      </w:r>
      <w:r w:rsidR="004A3ADB" w:rsidRPr="004A3ADB">
        <w:rPr>
          <w:iCs/>
          <w:vertAlign w:val="superscript"/>
          <w:lang w:val="en-US"/>
        </w:rPr>
        <w:fldChar w:fldCharType="end"/>
      </w:r>
      <w:r w:rsidR="004A3ADB" w:rsidRPr="004A3ADB">
        <w:rPr>
          <w:iCs/>
          <w:vertAlign w:val="superscript"/>
          <w:lang w:val="en-US"/>
        </w:rPr>
        <w:t>,</w:t>
      </w:r>
      <w:r w:rsidR="004A3ADB" w:rsidRPr="004A3ADB">
        <w:rPr>
          <w:iCs/>
          <w:vertAlign w:val="superscript"/>
          <w:lang w:val="en-US"/>
        </w:rPr>
        <w:fldChar w:fldCharType="begin"/>
      </w:r>
      <w:r w:rsidR="004A3ADB" w:rsidRPr="004A3ADB">
        <w:rPr>
          <w:iCs/>
          <w:vertAlign w:val="superscript"/>
          <w:lang w:val="en-US"/>
        </w:rPr>
        <w:instrText xml:space="preserve"> NOTEREF _Ref521937644 \h </w:instrText>
      </w:r>
      <w:r w:rsidR="004A3ADB">
        <w:rPr>
          <w:iCs/>
          <w:vertAlign w:val="superscript"/>
          <w:lang w:val="en-US"/>
        </w:rPr>
        <w:instrText xml:space="preserve"> \* MERGEFORMAT </w:instrText>
      </w:r>
      <w:r w:rsidR="004A3ADB" w:rsidRPr="004A3ADB">
        <w:rPr>
          <w:iCs/>
          <w:vertAlign w:val="superscript"/>
          <w:lang w:val="en-US"/>
        </w:rPr>
      </w:r>
      <w:r w:rsidR="004A3ADB" w:rsidRPr="004A3ADB">
        <w:rPr>
          <w:iCs/>
          <w:vertAlign w:val="superscript"/>
          <w:lang w:val="en-US"/>
        </w:rPr>
        <w:fldChar w:fldCharType="separate"/>
      </w:r>
      <w:r w:rsidR="005E3C6C">
        <w:rPr>
          <w:iCs/>
          <w:vertAlign w:val="superscript"/>
          <w:lang w:val="en-US"/>
        </w:rPr>
        <w:t>9</w:t>
      </w:r>
      <w:r w:rsidR="004A3ADB" w:rsidRPr="004A3ADB">
        <w:rPr>
          <w:iCs/>
          <w:vertAlign w:val="superscript"/>
          <w:lang w:val="en-US"/>
        </w:rPr>
        <w:fldChar w:fldCharType="end"/>
      </w:r>
    </w:p>
    <w:p w14:paraId="1841543E" w14:textId="42434BED" w:rsidR="0096728F" w:rsidRDefault="0096728F" w:rsidP="0096728F">
      <w:pPr>
        <w:spacing w:line="480" w:lineRule="auto"/>
        <w:ind w:firstLine="708"/>
        <w:jc w:val="center"/>
        <w:rPr>
          <w:iCs/>
          <w:lang w:val="en-US"/>
        </w:rPr>
      </w:pPr>
      <w:r>
        <w:rPr>
          <w:iCs/>
          <w:lang w:val="en-US"/>
        </w:rPr>
        <w:t>`</w:t>
      </w:r>
    </w:p>
    <w:p w14:paraId="6D4445B3" w14:textId="7E67F2C7" w:rsidR="009C2E2E" w:rsidRDefault="006B0590" w:rsidP="00905390">
      <w:pPr>
        <w:spacing w:line="480" w:lineRule="auto"/>
        <w:ind w:firstLine="708"/>
        <w:jc w:val="center"/>
        <w:rPr>
          <w:lang w:val="en-US"/>
        </w:rPr>
      </w:pPr>
      <w:r w:rsidRPr="008F61B3">
        <w:rPr>
          <w:noProof/>
        </w:rPr>
        <mc:AlternateContent>
          <mc:Choice Requires="wps">
            <w:drawing>
              <wp:anchor distT="0" distB="0" distL="114300" distR="114300" simplePos="0" relativeHeight="251661312" behindDoc="0" locked="0" layoutInCell="1" allowOverlap="1" wp14:anchorId="5C015152" wp14:editId="38678D9C">
                <wp:simplePos x="0" y="0"/>
                <wp:positionH relativeFrom="margin">
                  <wp:posOffset>179070</wp:posOffset>
                </wp:positionH>
                <wp:positionV relativeFrom="paragraph">
                  <wp:posOffset>4302125</wp:posOffset>
                </wp:positionV>
                <wp:extent cx="5829300" cy="1057275"/>
                <wp:effectExtent l="0" t="0" r="12700" b="12700"/>
                <wp:wrapThrough wrapText="bothSides">
                  <wp:wrapPolygon edited="0">
                    <wp:start x="0" y="0"/>
                    <wp:lineTo x="0" y="20571"/>
                    <wp:lineTo x="21553" y="20571"/>
                    <wp:lineTo x="21553" y="0"/>
                    <wp:lineTo x="0" y="0"/>
                  </wp:wrapPolygon>
                </wp:wrapThrough>
                <wp:docPr id="5" name="Tekstvak 5"/>
                <wp:cNvGraphicFramePr/>
                <a:graphic xmlns:a="http://schemas.openxmlformats.org/drawingml/2006/main">
                  <a:graphicData uri="http://schemas.microsoft.com/office/word/2010/wordprocessingShape">
                    <wps:wsp>
                      <wps:cNvSpPr txBox="1"/>
                      <wps:spPr>
                        <a:xfrm>
                          <a:off x="0" y="0"/>
                          <a:ext cx="5829300" cy="105727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399F9903" w14:textId="35D50196" w:rsidR="004327C7" w:rsidRPr="00A91200" w:rsidRDefault="004327C7" w:rsidP="0096728F">
                            <w:pPr>
                              <w:pStyle w:val="Bijschrift"/>
                              <w:jc w:val="both"/>
                              <w:rPr>
                                <w:rFonts w:ascii="Times New Roman" w:hAnsi="Times New Roman" w:cs="Times New Roman"/>
                                <w:b w:val="0"/>
                                <w:iCs/>
                                <w:noProof/>
                                <w:color w:val="auto"/>
                                <w:sz w:val="24"/>
                                <w:szCs w:val="24"/>
                              </w:rPr>
                            </w:pPr>
                            <w:r w:rsidRPr="00A91200">
                              <w:rPr>
                                <w:iCs/>
                                <w:color w:val="auto"/>
                                <w:sz w:val="24"/>
                                <w:szCs w:val="24"/>
                              </w:rPr>
                              <w:t xml:space="preserve">Figure </w:t>
                            </w:r>
                            <w:r>
                              <w:rPr>
                                <w:iCs/>
                                <w:color w:val="auto"/>
                                <w:sz w:val="24"/>
                                <w:szCs w:val="24"/>
                              </w:rPr>
                              <w:t>3</w:t>
                            </w:r>
                            <w:r w:rsidRPr="00A91200">
                              <w:rPr>
                                <w:iCs/>
                                <w:color w:val="auto"/>
                                <w:sz w:val="24"/>
                                <w:szCs w:val="24"/>
                              </w:rPr>
                              <w:t xml:space="preserve">. </w:t>
                            </w:r>
                            <w:r w:rsidRPr="006E34AA">
                              <w:rPr>
                                <w:b w:val="0"/>
                                <w:bCs w:val="0"/>
                                <w:iCs/>
                                <w:color w:val="auto"/>
                                <w:sz w:val="24"/>
                                <w:szCs w:val="24"/>
                              </w:rPr>
                              <w:t>a)</w:t>
                            </w:r>
                            <w:r>
                              <w:rPr>
                                <w:iCs/>
                                <w:color w:val="auto"/>
                                <w:sz w:val="24"/>
                                <w:szCs w:val="24"/>
                              </w:rPr>
                              <w:t xml:space="preserve"> </w:t>
                            </w:r>
                            <w:r w:rsidRPr="00A91200">
                              <w:rPr>
                                <w:b w:val="0"/>
                                <w:bCs w:val="0"/>
                                <w:iCs/>
                                <w:color w:val="auto"/>
                                <w:sz w:val="24"/>
                                <w:szCs w:val="24"/>
                              </w:rPr>
                              <w:t>Consideration of the relative weight of specific diradical resonance structures in the resonance hybrid enables a</w:t>
                            </w:r>
                            <w:r>
                              <w:rPr>
                                <w:b w:val="0"/>
                                <w:bCs w:val="0"/>
                                <w:iCs/>
                                <w:color w:val="auto"/>
                                <w:sz w:val="24"/>
                                <w:szCs w:val="24"/>
                              </w:rPr>
                              <w:t xml:space="preserve"> qualitative</w:t>
                            </w:r>
                            <w:r w:rsidRPr="00A91200">
                              <w:rPr>
                                <w:b w:val="0"/>
                                <w:bCs w:val="0"/>
                                <w:iCs/>
                                <w:color w:val="auto"/>
                                <w:sz w:val="24"/>
                                <w:szCs w:val="24"/>
                              </w:rPr>
                              <w:t xml:space="preserve"> estimation of the magnitude of the transmission probability when contacts are connected to the molecule through the positions corresponding to the radical centers in these structures. </w:t>
                            </w:r>
                            <w:r>
                              <w:rPr>
                                <w:b w:val="0"/>
                                <w:bCs w:val="0"/>
                                <w:iCs/>
                                <w:color w:val="auto"/>
                                <w:sz w:val="24"/>
                                <w:szCs w:val="24"/>
                              </w:rPr>
                              <w:t>b) The main diradical resonance structures of naphthalene, anthracene and tetracene.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C015152" id="Tekstvak 5" o:spid="_x0000_s1027" type="#_x0000_t202" style="position:absolute;left:0;text-align:left;margin-left:14.1pt;margin-top:338.75pt;width:459pt;height:83.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" stroked="f">
                <v:textbox style="mso-fit-shape-to-text:t" inset="0,0,0,0">
                  <w:txbxContent>
                    <w:p w14:paraId="399F9903" w14:textId="35D50196" w:rsidR="004327C7" w:rsidRPr="00A91200" w:rsidRDefault="004327C7" w:rsidP="0096728F">
                      <w:pPr>
                        <w:pStyle w:val="Bijschrift"/>
                        <w:jc w:val="both"/>
                        <w:rPr>
                          <w:rFonts w:ascii="Times New Roman" w:hAnsi="Times New Roman" w:cs="Times New Roman"/>
                          <w:b w:val="0"/>
                          <w:iCs/>
                          <w:noProof/>
                          <w:color w:val="auto"/>
                          <w:sz w:val="24"/>
                          <w:szCs w:val="24"/>
                        </w:rPr>
                      </w:pPr>
                      <w:r w:rsidRPr="00A91200">
                        <w:rPr>
                          <w:iCs/>
                          <w:color w:val="auto"/>
                          <w:sz w:val="24"/>
                          <w:szCs w:val="24"/>
                        </w:rPr>
                        <w:t xml:space="preserve">Figure </w:t>
                      </w:r>
                      <w:r>
                        <w:rPr>
                          <w:iCs/>
                          <w:color w:val="auto"/>
                          <w:sz w:val="24"/>
                          <w:szCs w:val="24"/>
                        </w:rPr>
                        <w:t>3</w:t>
                      </w:r>
                      <w:r w:rsidRPr="00A91200">
                        <w:rPr>
                          <w:iCs/>
                          <w:color w:val="auto"/>
                          <w:sz w:val="24"/>
                          <w:szCs w:val="24"/>
                        </w:rPr>
                        <w:t xml:space="preserve">. </w:t>
                      </w:r>
                      <w:r w:rsidRPr="006E34AA">
                        <w:rPr>
                          <w:b w:val="0"/>
                          <w:bCs w:val="0"/>
                          <w:iCs/>
                          <w:color w:val="auto"/>
                          <w:sz w:val="24"/>
                          <w:szCs w:val="24"/>
                        </w:rPr>
                        <w:t>a)</w:t>
                      </w:r>
                      <w:r>
                        <w:rPr>
                          <w:iCs/>
                          <w:color w:val="auto"/>
                          <w:sz w:val="24"/>
                          <w:szCs w:val="24"/>
                        </w:rPr>
                        <w:t xml:space="preserve"> </w:t>
                      </w:r>
                      <w:r w:rsidRPr="00A91200">
                        <w:rPr>
                          <w:b w:val="0"/>
                          <w:bCs w:val="0"/>
                          <w:iCs/>
                          <w:color w:val="auto"/>
                          <w:sz w:val="24"/>
                          <w:szCs w:val="24"/>
                        </w:rPr>
                        <w:t>Consideration of the relative weight of specific diradical resonance structures in the resonance hybrid enables a</w:t>
                      </w:r>
                      <w:r>
                        <w:rPr>
                          <w:b w:val="0"/>
                          <w:bCs w:val="0"/>
                          <w:iCs/>
                          <w:color w:val="auto"/>
                          <w:sz w:val="24"/>
                          <w:szCs w:val="24"/>
                        </w:rPr>
                        <w:t xml:space="preserve"> qualitative</w:t>
                      </w:r>
                      <w:r w:rsidRPr="00A91200">
                        <w:rPr>
                          <w:b w:val="0"/>
                          <w:bCs w:val="0"/>
                          <w:iCs/>
                          <w:color w:val="auto"/>
                          <w:sz w:val="24"/>
                          <w:szCs w:val="24"/>
                        </w:rPr>
                        <w:t xml:space="preserve"> estimation of the magnitude of the transmission probability when contacts are connected to the molecule through the positions corresponding to the radical centers in these structures. </w:t>
                      </w:r>
                      <w:r>
                        <w:rPr>
                          <w:b w:val="0"/>
                          <w:bCs w:val="0"/>
                          <w:iCs/>
                          <w:color w:val="auto"/>
                          <w:sz w:val="24"/>
                          <w:szCs w:val="24"/>
                        </w:rPr>
                        <w:t xml:space="preserve">b) The main diradical resonance structures of naphthalene, anthracene and </w:t>
                      </w:r>
                      <w:proofErr w:type="spellStart"/>
                      <w:r>
                        <w:rPr>
                          <w:b w:val="0"/>
                          <w:bCs w:val="0"/>
                          <w:iCs/>
                          <w:color w:val="auto"/>
                          <w:sz w:val="24"/>
                          <w:szCs w:val="24"/>
                        </w:rPr>
                        <w:t>tetracene</w:t>
                      </w:r>
                      <w:proofErr w:type="spellEnd"/>
                      <w:r>
                        <w:rPr>
                          <w:b w:val="0"/>
                          <w:bCs w:val="0"/>
                          <w:iCs/>
                          <w:color w:val="auto"/>
                          <w:sz w:val="24"/>
                          <w:szCs w:val="24"/>
                        </w:rPr>
                        <w:t>.</w:t>
                      </w:r>
                    </w:p>
                  </w:txbxContent>
                </v:textbox>
                <w10:wrap type="through" anchorx="margin"/>
              </v:shape>
            </w:pict>
          </mc:Fallback>
        </mc:AlternateContent>
      </w:r>
      <w:r w:rsidR="006E34AA">
        <w:rPr>
          <w:noProof/>
        </w:rPr>
        <w:drawing>
          <wp:inline distT="0" distB="0" distL="0" distR="0" wp14:anchorId="4F1D156F" wp14:editId="093233DB">
            <wp:extent cx="3329541" cy="4079240"/>
            <wp:effectExtent l="0" t="0" r="0" b="10160"/>
            <wp:docPr id="14" name="Afbeelding 14" descr="Figure%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20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33913" cy="4084597"/>
                    </a:xfrm>
                    <a:prstGeom prst="rect">
                      <a:avLst/>
                    </a:prstGeom>
                    <a:noFill/>
                    <a:ln>
                      <a:noFill/>
                    </a:ln>
                  </pic:spPr>
                </pic:pic>
              </a:graphicData>
            </a:graphic>
          </wp:inline>
        </w:drawing>
      </w:r>
    </w:p>
    <w:p w14:paraId="34E137CA" w14:textId="369227E2" w:rsidR="00533725" w:rsidRDefault="006D28D9" w:rsidP="00913D8F">
      <w:pPr>
        <w:spacing w:line="480" w:lineRule="auto"/>
        <w:ind w:firstLine="708"/>
        <w:jc w:val="both"/>
        <w:rPr>
          <w:lang w:val="en-US"/>
        </w:rPr>
      </w:pPr>
      <w:r>
        <w:rPr>
          <w:lang w:val="en-US"/>
        </w:rPr>
        <w:t xml:space="preserve">With such an understanding, we may employ established </w:t>
      </w:r>
      <w:r w:rsidR="00A41560">
        <w:rPr>
          <w:lang w:val="en-US"/>
        </w:rPr>
        <w:t>ideas</w:t>
      </w:r>
      <w:r>
        <w:rPr>
          <w:lang w:val="en-US"/>
        </w:rPr>
        <w:t xml:space="preserve"> to enhance diradical character of a wire</w:t>
      </w:r>
      <w:r w:rsidR="006A3532">
        <w:rPr>
          <w:lang w:val="en-US"/>
        </w:rPr>
        <w:t xml:space="preserve"> as the number of repeating units increases,</w:t>
      </w:r>
      <w:r>
        <w:rPr>
          <w:lang w:val="en-US"/>
        </w:rPr>
        <w:t xml:space="preserve"> and hence </w:t>
      </w:r>
      <w:r w:rsidR="009C2E2E">
        <w:rPr>
          <w:lang w:val="en-US"/>
        </w:rPr>
        <w:t xml:space="preserve">the transmission probability </w:t>
      </w:r>
      <w:r w:rsidR="00A97450">
        <w:rPr>
          <w:lang w:val="en-US"/>
        </w:rPr>
        <w:t>around the Fermi level</w:t>
      </w:r>
      <w:r w:rsidR="006A3532">
        <w:rPr>
          <w:lang w:val="en-US"/>
        </w:rPr>
        <w:t>.</w:t>
      </w:r>
      <w:r w:rsidR="00B76824">
        <w:rPr>
          <w:lang w:val="en-US"/>
        </w:rPr>
        <w:t xml:space="preserve"> </w:t>
      </w:r>
      <w:r w:rsidR="006A3532">
        <w:rPr>
          <w:lang w:val="en-US"/>
        </w:rPr>
        <w:t>In this way,</w:t>
      </w:r>
      <w:r w:rsidR="00A97450">
        <w:rPr>
          <w:lang w:val="en-US"/>
        </w:rPr>
        <w:t xml:space="preserve"> </w:t>
      </w:r>
      <w:r w:rsidR="00B76824">
        <w:rPr>
          <w:lang w:val="en-US"/>
        </w:rPr>
        <w:t xml:space="preserve">we can </w:t>
      </w:r>
      <w:r>
        <w:rPr>
          <w:lang w:val="en-US"/>
        </w:rPr>
        <w:t>design anti-Ohmic wires</w:t>
      </w:r>
      <w:r w:rsidR="009C2E2E">
        <w:rPr>
          <w:lang w:val="en-US"/>
        </w:rPr>
        <w:t>.</w:t>
      </w:r>
      <w:r w:rsidR="009A7CDF" w:rsidRPr="009A7CDF">
        <w:rPr>
          <w:vertAlign w:val="superscript"/>
          <w:lang w:val="en-US"/>
        </w:rPr>
        <w:fldChar w:fldCharType="begin"/>
      </w:r>
      <w:r w:rsidR="009A7CDF" w:rsidRPr="009A7CDF">
        <w:rPr>
          <w:vertAlign w:val="superscript"/>
          <w:lang w:val="en-US"/>
        </w:rPr>
        <w:instrText xml:space="preserve"> NOTEREF _Ref521937644 \h </w:instrText>
      </w:r>
      <w:r w:rsidR="009A7CDF">
        <w:rPr>
          <w:vertAlign w:val="superscript"/>
          <w:lang w:val="en-US"/>
        </w:rPr>
        <w:instrText xml:space="preserve"> \* MERGEFORMAT </w:instrText>
      </w:r>
      <w:r w:rsidR="009A7CDF" w:rsidRPr="009A7CDF">
        <w:rPr>
          <w:vertAlign w:val="superscript"/>
          <w:lang w:val="en-US"/>
        </w:rPr>
      </w:r>
      <w:r w:rsidR="009A7CDF" w:rsidRPr="009A7CDF">
        <w:rPr>
          <w:vertAlign w:val="superscript"/>
          <w:lang w:val="en-US"/>
        </w:rPr>
        <w:fldChar w:fldCharType="separate"/>
      </w:r>
      <w:r w:rsidR="005E3C6C">
        <w:rPr>
          <w:vertAlign w:val="superscript"/>
          <w:lang w:val="en-US"/>
        </w:rPr>
        <w:t>9</w:t>
      </w:r>
      <w:r w:rsidR="009A7CDF" w:rsidRPr="009A7CDF">
        <w:rPr>
          <w:vertAlign w:val="superscript"/>
          <w:lang w:val="en-US"/>
        </w:rPr>
        <w:fldChar w:fldCharType="end"/>
      </w:r>
      <w:r w:rsidR="00190F90">
        <w:rPr>
          <w:lang w:val="en-US"/>
        </w:rPr>
        <w:t xml:space="preserve"> </w:t>
      </w:r>
      <w:r w:rsidR="000A3922">
        <w:rPr>
          <w:lang w:val="en-US"/>
        </w:rPr>
        <w:t xml:space="preserve">But the </w:t>
      </w:r>
      <w:r w:rsidR="000A3922">
        <w:rPr>
          <w:lang w:val="en-US"/>
        </w:rPr>
        <w:lastRenderedPageBreak/>
        <w:t>prerequisite is that the repeating units have some diradical character by themselves. T</w:t>
      </w:r>
      <w:r w:rsidR="00665406">
        <w:rPr>
          <w:lang w:val="en-US"/>
        </w:rPr>
        <w:t xml:space="preserve">here </w:t>
      </w:r>
      <w:r w:rsidR="000A3922">
        <w:rPr>
          <w:lang w:val="en-US"/>
        </w:rPr>
        <w:t>should be</w:t>
      </w:r>
      <w:r w:rsidR="00BC34E0">
        <w:rPr>
          <w:lang w:val="en-US"/>
        </w:rPr>
        <w:t xml:space="preserve"> some sort of</w:t>
      </w:r>
      <w:r w:rsidR="000A3922">
        <w:rPr>
          <w:lang w:val="en-US"/>
        </w:rPr>
        <w:t xml:space="preserve"> </w:t>
      </w:r>
      <w:r w:rsidR="00665406">
        <w:rPr>
          <w:lang w:val="en-US"/>
        </w:rPr>
        <w:t>a tipping point</w:t>
      </w:r>
      <w:r w:rsidR="00F82E3F">
        <w:rPr>
          <w:lang w:val="en-US"/>
        </w:rPr>
        <w:t xml:space="preserve"> –</w:t>
      </w:r>
      <w:r w:rsidR="00665406">
        <w:rPr>
          <w:lang w:val="en-US"/>
        </w:rPr>
        <w:t xml:space="preserve"> a </w:t>
      </w:r>
      <w:r w:rsidR="00F82E3F">
        <w:rPr>
          <w:lang w:val="en-US"/>
        </w:rPr>
        <w:t xml:space="preserve">critical diradical character required in the repeating unit – which </w:t>
      </w:r>
      <w:r w:rsidR="0042138B">
        <w:rPr>
          <w:lang w:val="en-US"/>
        </w:rPr>
        <w:t xml:space="preserve">needs </w:t>
      </w:r>
      <w:r w:rsidR="00F82E3F">
        <w:rPr>
          <w:lang w:val="en-US"/>
        </w:rPr>
        <w:t xml:space="preserve">to be exceeded for the resulting wire to </w:t>
      </w:r>
      <w:r w:rsidR="00D74784">
        <w:rPr>
          <w:lang w:val="en-US"/>
        </w:rPr>
        <w:t>be</w:t>
      </w:r>
      <w:r w:rsidR="00BC34E0">
        <w:rPr>
          <w:lang w:val="en-US"/>
        </w:rPr>
        <w:t>come</w:t>
      </w:r>
      <w:r w:rsidR="00D74784">
        <w:rPr>
          <w:lang w:val="en-US"/>
        </w:rPr>
        <w:t xml:space="preserve"> ant</w:t>
      </w:r>
      <w:r w:rsidR="003E595E">
        <w:rPr>
          <w:lang w:val="en-US"/>
        </w:rPr>
        <w:t>i</w:t>
      </w:r>
      <w:r w:rsidR="00D74784">
        <w:rPr>
          <w:lang w:val="en-US"/>
        </w:rPr>
        <w:t>-Ohmic</w:t>
      </w:r>
      <w:r w:rsidR="00F82E3F">
        <w:rPr>
          <w:lang w:val="en-US"/>
        </w:rPr>
        <w:t xml:space="preserve">. </w:t>
      </w:r>
    </w:p>
    <w:p w14:paraId="7065E799" w14:textId="6A21B1C5" w:rsidR="00A02F53" w:rsidRDefault="005A12AF" w:rsidP="00C356E4">
      <w:pPr>
        <w:spacing w:line="480" w:lineRule="auto"/>
        <w:ind w:firstLine="708"/>
        <w:jc w:val="both"/>
        <w:rPr>
          <w:lang w:val="en-US"/>
        </w:rPr>
      </w:pPr>
      <w:r>
        <w:rPr>
          <w:lang w:val="en-US"/>
        </w:rPr>
        <w:t>Let us make this more concrete by focusing on a well-known group of compounds for which the diradical character can be tuned systematically: nanographenes. Simple resonance theory straightforwardly reveals that starting from naphthalene, the annealing of additional benzenoid rings to form anthracene, tetracene</w:t>
      </w:r>
      <w:r w:rsidR="00E253AE">
        <w:rPr>
          <w:lang w:val="en-US"/>
        </w:rPr>
        <w:t>,</w:t>
      </w:r>
      <w:r>
        <w:rPr>
          <w:lang w:val="en-US"/>
        </w:rPr>
        <w:t xml:space="preserve"> etc. leads to an </w:t>
      </w:r>
      <w:r w:rsidR="001C79A2">
        <w:rPr>
          <w:lang w:val="en-US"/>
        </w:rPr>
        <w:t xml:space="preserve">increasing weight of diradical resonance structures with </w:t>
      </w:r>
      <w:r w:rsidR="0011215F">
        <w:rPr>
          <w:lang w:val="en-US"/>
        </w:rPr>
        <w:t xml:space="preserve">the radical centers located on the </w:t>
      </w:r>
      <w:r w:rsidR="006E34AA">
        <w:rPr>
          <w:lang w:val="en-US"/>
        </w:rPr>
        <w:t xml:space="preserve">central </w:t>
      </w:r>
      <w:r w:rsidR="0011215F">
        <w:rPr>
          <w:lang w:val="en-US"/>
        </w:rPr>
        <w:t>zigzag edges in the resonance hybrid</w:t>
      </w:r>
      <w:r>
        <w:rPr>
          <w:lang w:val="en-US"/>
        </w:rPr>
        <w:t xml:space="preserve"> (cf. Fig. </w:t>
      </w:r>
      <w:r w:rsidR="008A07D8">
        <w:rPr>
          <w:lang w:val="en-US"/>
        </w:rPr>
        <w:t>3</w:t>
      </w:r>
      <w:r w:rsidR="006E34AA">
        <w:rPr>
          <w:lang w:val="en-US"/>
        </w:rPr>
        <w:t>b</w:t>
      </w:r>
      <w:r>
        <w:rPr>
          <w:lang w:val="en-US"/>
        </w:rPr>
        <w:t>).</w:t>
      </w:r>
      <w:r>
        <w:rPr>
          <w:rStyle w:val="Eindnootmarkering"/>
          <w:lang w:val="en-US"/>
        </w:rPr>
        <w:endnoteReference w:id="23"/>
      </w:r>
      <w:r>
        <w:rPr>
          <w:lang w:val="en-US"/>
        </w:rPr>
        <w:t xml:space="preserve"> This evolution is also reflected in the occupation number of the lowest unoccupied natural orbital</w:t>
      </w:r>
      <w:r w:rsidR="008162AD">
        <w:rPr>
          <w:lang w:val="en-US"/>
        </w:rPr>
        <w:t xml:space="preserve"> (LUNO)</w:t>
      </w:r>
      <w:r>
        <w:rPr>
          <w:lang w:val="en-US"/>
        </w:rPr>
        <w:t>, n</w:t>
      </w:r>
      <w:r>
        <w:rPr>
          <w:vertAlign w:val="subscript"/>
          <w:lang w:val="en-US"/>
        </w:rPr>
        <w:t>L</w:t>
      </w:r>
      <w:r>
        <w:rPr>
          <w:lang w:val="en-US"/>
        </w:rPr>
        <w:t>, an indicator of the diradical character of a compound</w:t>
      </w:r>
      <w:r w:rsidR="008162AD">
        <w:rPr>
          <w:lang w:val="en-US"/>
        </w:rPr>
        <w:t>, and the distributions of HONO (highest occupied NO)</w:t>
      </w:r>
      <w:r w:rsidR="00062AE3">
        <w:rPr>
          <w:lang w:val="en-US"/>
        </w:rPr>
        <w:t xml:space="preserve"> and LUNO</w:t>
      </w:r>
      <w:r>
        <w:rPr>
          <w:lang w:val="en-US"/>
        </w:rPr>
        <w:t>.</w:t>
      </w:r>
      <w:r w:rsidR="006E58F1">
        <w:rPr>
          <w:rStyle w:val="Eindnootmarkering"/>
          <w:lang w:val="en-US"/>
        </w:rPr>
        <w:endnoteReference w:id="24"/>
      </w:r>
      <w:r w:rsidR="006E58F1" w:rsidRPr="00ED0DDC">
        <w:rPr>
          <w:vertAlign w:val="superscript"/>
          <w:lang w:val="en-US"/>
        </w:rPr>
        <w:t>,</w:t>
      </w:r>
      <w:r w:rsidR="000A11FA" w:rsidRPr="003B0509">
        <w:rPr>
          <w:rStyle w:val="Eindnootmarkering"/>
          <w:lang w:val="en-US"/>
        </w:rPr>
        <w:endnoteReference w:id="25"/>
      </w:r>
      <w:r w:rsidR="000A11FA" w:rsidRPr="003B0509">
        <w:rPr>
          <w:vertAlign w:val="superscript"/>
          <w:lang w:val="en-US"/>
        </w:rPr>
        <w:t>,</w:t>
      </w:r>
      <w:r w:rsidR="000A11FA" w:rsidRPr="003B0509">
        <w:rPr>
          <w:rStyle w:val="Eindnootmarkering"/>
          <w:lang w:val="en-US"/>
        </w:rPr>
        <w:endnoteReference w:id="26"/>
      </w:r>
      <w:r w:rsidR="000A11FA" w:rsidRPr="003B0509">
        <w:rPr>
          <w:vertAlign w:val="superscript"/>
          <w:lang w:val="en-US"/>
        </w:rPr>
        <w:t>,</w:t>
      </w:r>
      <w:r w:rsidR="000A11FA" w:rsidRPr="003B0509">
        <w:rPr>
          <w:rStyle w:val="Eindnootmarkering"/>
          <w:lang w:val="en-US"/>
        </w:rPr>
        <w:endnoteReference w:id="27"/>
      </w:r>
      <w:r>
        <w:rPr>
          <w:lang w:val="en-US"/>
        </w:rPr>
        <w:t xml:space="preserve"> </w:t>
      </w:r>
      <w:r w:rsidR="005D2342">
        <w:rPr>
          <w:lang w:val="en-US"/>
        </w:rPr>
        <w:t>In our calculations</w:t>
      </w:r>
      <w:r w:rsidR="00300015">
        <w:rPr>
          <w:lang w:val="en-US"/>
        </w:rPr>
        <w:t xml:space="preserve">, </w:t>
      </w:r>
      <w:r>
        <w:rPr>
          <w:lang w:val="en-US"/>
        </w:rPr>
        <w:t>n</w:t>
      </w:r>
      <w:r>
        <w:rPr>
          <w:vertAlign w:val="subscript"/>
          <w:lang w:val="en-US"/>
        </w:rPr>
        <w:t>L</w:t>
      </w:r>
      <w:r>
        <w:rPr>
          <w:lang w:val="en-US"/>
        </w:rPr>
        <w:t xml:space="preserve"> amounts to 0.12</w:t>
      </w:r>
      <w:r w:rsidR="00300015">
        <w:rPr>
          <w:lang w:val="en-US"/>
        </w:rPr>
        <w:t>,</w:t>
      </w:r>
      <w:r>
        <w:rPr>
          <w:lang w:val="en-US"/>
        </w:rPr>
        <w:t xml:space="preserve"> 0.15</w:t>
      </w:r>
      <w:r w:rsidR="00300015">
        <w:rPr>
          <w:lang w:val="en-US"/>
        </w:rPr>
        <w:t>, and</w:t>
      </w:r>
      <w:r>
        <w:rPr>
          <w:lang w:val="en-US"/>
        </w:rPr>
        <w:t xml:space="preserve"> 0.20</w:t>
      </w:r>
      <w:r w:rsidR="00300015">
        <w:rPr>
          <w:lang w:val="en-US"/>
        </w:rPr>
        <w:t xml:space="preserve"> for naphthalene, anthracene, and tetracene</w:t>
      </w:r>
      <w:r>
        <w:rPr>
          <w:lang w:val="en-US"/>
        </w:rPr>
        <w:t xml:space="preserve">. </w:t>
      </w:r>
      <w:r w:rsidR="00B61D85">
        <w:rPr>
          <w:lang w:val="en-US"/>
        </w:rPr>
        <w:t>We construct</w:t>
      </w:r>
      <w:r w:rsidR="00826A14">
        <w:rPr>
          <w:lang w:val="en-US"/>
        </w:rPr>
        <w:t>ed</w:t>
      </w:r>
      <w:r w:rsidR="00B61D85">
        <w:rPr>
          <w:lang w:val="en-US"/>
        </w:rPr>
        <w:t xml:space="preserve"> </w:t>
      </w:r>
      <w:r>
        <w:rPr>
          <w:lang w:val="en-US"/>
        </w:rPr>
        <w:t xml:space="preserve">fused wires </w:t>
      </w:r>
      <w:r w:rsidR="00E321E5">
        <w:rPr>
          <w:lang w:val="en-US"/>
        </w:rPr>
        <w:t>of</w:t>
      </w:r>
      <w:r>
        <w:rPr>
          <w:lang w:val="en-US"/>
        </w:rPr>
        <w:t xml:space="preserve"> these compounds, </w:t>
      </w:r>
      <w:r w:rsidR="00976314">
        <w:rPr>
          <w:lang w:val="en-US"/>
        </w:rPr>
        <w:t>analogous</w:t>
      </w:r>
      <w:r>
        <w:rPr>
          <w:lang w:val="en-US"/>
        </w:rPr>
        <w:t xml:space="preserve"> to the fused-porphyrinoid wire pr</w:t>
      </w:r>
      <w:r w:rsidR="00D440CF">
        <w:rPr>
          <w:lang w:val="en-US"/>
        </w:rPr>
        <w:t xml:space="preserve">oposed by Algethami </w:t>
      </w:r>
      <w:r w:rsidR="00D440CF" w:rsidRPr="00976314">
        <w:rPr>
          <w:i/>
          <w:iCs/>
          <w:lang w:val="en-US"/>
        </w:rPr>
        <w:t>et al</w:t>
      </w:r>
      <w:r w:rsidR="00B068A8">
        <w:rPr>
          <w:lang w:val="en-US"/>
        </w:rPr>
        <w:t>.</w:t>
      </w:r>
      <w:r w:rsidR="00976314" w:rsidRPr="00976314">
        <w:rPr>
          <w:vertAlign w:val="superscript"/>
          <w:lang w:val="en-US"/>
        </w:rPr>
        <w:fldChar w:fldCharType="begin"/>
      </w:r>
      <w:r w:rsidR="00976314" w:rsidRPr="00976314">
        <w:rPr>
          <w:vertAlign w:val="superscript"/>
          <w:lang w:val="en-US"/>
        </w:rPr>
        <w:instrText xml:space="preserve"> NOTEREF _Ref521937659 \h </w:instrText>
      </w:r>
      <w:r w:rsidR="00976314">
        <w:rPr>
          <w:vertAlign w:val="superscript"/>
          <w:lang w:val="en-US"/>
        </w:rPr>
        <w:instrText xml:space="preserve"> \* MERGEFORMAT </w:instrText>
      </w:r>
      <w:r w:rsidR="00976314" w:rsidRPr="00976314">
        <w:rPr>
          <w:vertAlign w:val="superscript"/>
          <w:lang w:val="en-US"/>
        </w:rPr>
      </w:r>
      <w:r w:rsidR="00976314" w:rsidRPr="00976314">
        <w:rPr>
          <w:vertAlign w:val="superscript"/>
          <w:lang w:val="en-US"/>
        </w:rPr>
        <w:fldChar w:fldCharType="separate"/>
      </w:r>
      <w:r w:rsidR="005E3C6C">
        <w:rPr>
          <w:vertAlign w:val="superscript"/>
          <w:lang w:val="en-US"/>
        </w:rPr>
        <w:t>11</w:t>
      </w:r>
      <w:r w:rsidR="00976314" w:rsidRPr="00976314">
        <w:rPr>
          <w:vertAlign w:val="superscript"/>
          <w:lang w:val="en-US"/>
        </w:rPr>
        <w:fldChar w:fldCharType="end"/>
      </w:r>
      <w:r w:rsidR="00D440CF">
        <w:rPr>
          <w:lang w:val="en-US"/>
        </w:rPr>
        <w:t xml:space="preserve"> </w:t>
      </w:r>
      <w:r w:rsidR="00B068A8">
        <w:rPr>
          <w:lang w:val="en-US"/>
        </w:rPr>
        <w:t xml:space="preserve">We then connected the compounds to </w:t>
      </w:r>
      <w:r w:rsidR="00D756BC">
        <w:rPr>
          <w:lang w:val="en-US"/>
        </w:rPr>
        <w:t xml:space="preserve">ethynylphenylthiol linkers </w:t>
      </w:r>
      <w:r w:rsidR="00D440CF">
        <w:rPr>
          <w:lang w:val="en-US"/>
        </w:rPr>
        <w:t>and introduc</w:t>
      </w:r>
      <w:r w:rsidR="002C4E28">
        <w:rPr>
          <w:lang w:val="en-US"/>
        </w:rPr>
        <w:t>ed</w:t>
      </w:r>
      <w:r w:rsidR="00D440CF">
        <w:rPr>
          <w:lang w:val="en-US"/>
        </w:rPr>
        <w:t xml:space="preserve"> the result</w:t>
      </w:r>
      <w:r w:rsidR="003629A4">
        <w:rPr>
          <w:lang w:val="en-US"/>
        </w:rPr>
        <w:t>ant</w:t>
      </w:r>
      <w:r w:rsidR="00D440CF">
        <w:rPr>
          <w:lang w:val="en-US"/>
        </w:rPr>
        <w:t xml:space="preserve"> </w:t>
      </w:r>
      <w:r w:rsidR="00B068A8">
        <w:rPr>
          <w:lang w:val="en-US"/>
        </w:rPr>
        <w:t xml:space="preserve">complex </w:t>
      </w:r>
      <w:r w:rsidR="00D440CF">
        <w:rPr>
          <w:lang w:val="en-US"/>
        </w:rPr>
        <w:t>into a circuit</w:t>
      </w:r>
      <w:r w:rsidR="00F818BC">
        <w:rPr>
          <w:lang w:val="en-US"/>
        </w:rPr>
        <w:t xml:space="preserve">. </w:t>
      </w:r>
      <w:r w:rsidR="006729E2">
        <w:rPr>
          <w:lang w:val="en-US"/>
        </w:rPr>
        <w:t>The wires and their</w:t>
      </w:r>
      <w:r w:rsidR="00D440CF">
        <w:rPr>
          <w:lang w:val="en-US"/>
        </w:rPr>
        <w:t xml:space="preserve"> transmission spectra </w:t>
      </w:r>
      <w:r w:rsidR="006729E2">
        <w:rPr>
          <w:lang w:val="en-US"/>
        </w:rPr>
        <w:t xml:space="preserve">are shown </w:t>
      </w:r>
      <w:r w:rsidR="00D440CF">
        <w:rPr>
          <w:lang w:val="en-US"/>
        </w:rPr>
        <w:t xml:space="preserve">in Fig. </w:t>
      </w:r>
      <w:r w:rsidR="008A07D8">
        <w:rPr>
          <w:lang w:val="en-US"/>
        </w:rPr>
        <w:t>4</w:t>
      </w:r>
      <w:r w:rsidR="00D440CF">
        <w:rPr>
          <w:lang w:val="en-US"/>
        </w:rPr>
        <w:t xml:space="preserve">. From these spectra, it can be concluded that whereas the naphthalene-based wire exhibits the conventional </w:t>
      </w:r>
      <w:r w:rsidR="00743C13">
        <w:rPr>
          <w:lang w:val="en-US"/>
        </w:rPr>
        <w:t>decrease in</w:t>
      </w:r>
      <w:r w:rsidR="00434B44">
        <w:rPr>
          <w:lang w:val="en-US"/>
        </w:rPr>
        <w:t xml:space="preserve"> conductance with length</w:t>
      </w:r>
      <w:r w:rsidR="00BE670A">
        <w:rPr>
          <w:lang w:val="en-US"/>
        </w:rPr>
        <w:t xml:space="preserve"> (the transmission probability </w:t>
      </w:r>
      <w:r w:rsidR="00E30882">
        <w:rPr>
          <w:lang w:val="en-US"/>
        </w:rPr>
        <w:t xml:space="preserve">at </w:t>
      </w:r>
      <w:r w:rsidR="00BE670A">
        <w:rPr>
          <w:lang w:val="en-US"/>
        </w:rPr>
        <w:t>E = E</w:t>
      </w:r>
      <w:r w:rsidR="00BE670A">
        <w:rPr>
          <w:vertAlign w:val="subscript"/>
          <w:lang w:val="en-US"/>
        </w:rPr>
        <w:t>F</w:t>
      </w:r>
      <w:r w:rsidR="00BE670A">
        <w:rPr>
          <w:lang w:val="en-US"/>
        </w:rPr>
        <w:t xml:space="preserve"> decreases as subunits are added to the wire)</w:t>
      </w:r>
      <w:r w:rsidR="00434B44">
        <w:rPr>
          <w:lang w:val="en-US"/>
        </w:rPr>
        <w:t>;</w:t>
      </w:r>
      <w:r w:rsidR="00D73B4E">
        <w:rPr>
          <w:lang w:val="en-US"/>
        </w:rPr>
        <w:t xml:space="preserve"> the anthracene- and tetracene-based wires exhibit the desired </w:t>
      </w:r>
      <w:r w:rsidR="00492A8C">
        <w:rPr>
          <w:lang w:val="en-US"/>
        </w:rPr>
        <w:t>increas</w:t>
      </w:r>
      <w:r w:rsidR="00A920EA">
        <w:rPr>
          <w:lang w:val="en-US"/>
        </w:rPr>
        <w:t>e in</w:t>
      </w:r>
      <w:r w:rsidR="00492A8C">
        <w:rPr>
          <w:lang w:val="en-US"/>
        </w:rPr>
        <w:t xml:space="preserve"> conductance with length. </w:t>
      </w:r>
      <w:r w:rsidR="00F73248">
        <w:rPr>
          <w:lang w:val="en-US"/>
        </w:rPr>
        <w:t>The increase of</w:t>
      </w:r>
      <w:r w:rsidR="004327C7">
        <w:rPr>
          <w:lang w:val="en-US"/>
        </w:rPr>
        <w:t xml:space="preserve"> the conductance </w:t>
      </w:r>
      <w:r w:rsidR="00F73248">
        <w:rPr>
          <w:lang w:val="en-US"/>
        </w:rPr>
        <w:t>correlates</w:t>
      </w:r>
      <w:r w:rsidR="004327C7">
        <w:rPr>
          <w:lang w:val="en-US"/>
        </w:rPr>
        <w:t xml:space="preserve"> with the </w:t>
      </w:r>
      <w:r w:rsidR="00C356E4">
        <w:rPr>
          <w:lang w:val="en-US"/>
        </w:rPr>
        <w:t>steady</w:t>
      </w:r>
      <w:r w:rsidR="00CD0A6D">
        <w:rPr>
          <w:lang w:val="en-US"/>
        </w:rPr>
        <w:t xml:space="preserve"> </w:t>
      </w:r>
      <w:r w:rsidR="00F73248">
        <w:rPr>
          <w:lang w:val="en-US"/>
        </w:rPr>
        <w:t>decrease</w:t>
      </w:r>
      <w:r w:rsidR="004327C7">
        <w:rPr>
          <w:lang w:val="en-US"/>
        </w:rPr>
        <w:t xml:space="preserve"> of the </w:t>
      </w:r>
      <w:r w:rsidR="007B44AA">
        <w:rPr>
          <w:lang w:val="en-US"/>
        </w:rPr>
        <w:t>interconnecting</w:t>
      </w:r>
      <w:r w:rsidR="00F73248">
        <w:rPr>
          <w:lang w:val="en-US"/>
        </w:rPr>
        <w:t xml:space="preserve"> </w:t>
      </w:r>
      <w:r w:rsidR="004327C7">
        <w:rPr>
          <w:lang w:val="en-US"/>
        </w:rPr>
        <w:t>bond lengths</w:t>
      </w:r>
      <w:r w:rsidR="00F73248">
        <w:rPr>
          <w:lang w:val="en-US"/>
        </w:rPr>
        <w:t xml:space="preserve"> </w:t>
      </w:r>
      <w:r w:rsidR="007B44AA">
        <w:rPr>
          <w:lang w:val="en-US"/>
        </w:rPr>
        <w:t>between</w:t>
      </w:r>
      <w:r w:rsidR="00F73248">
        <w:rPr>
          <w:lang w:val="en-US"/>
        </w:rPr>
        <w:t xml:space="preserve"> the anthracene and tetracene units as the wire becomes longer</w:t>
      </w:r>
      <w:r w:rsidR="00372CE6">
        <w:rPr>
          <w:lang w:val="en-US"/>
        </w:rPr>
        <w:t xml:space="preserve"> (cf</w:t>
      </w:r>
      <w:r w:rsidR="00F73248">
        <w:rPr>
          <w:lang w:val="en-US"/>
        </w:rPr>
        <w:t xml:space="preserve">. </w:t>
      </w:r>
      <w:r w:rsidR="00372CE6">
        <w:rPr>
          <w:lang w:val="en-US"/>
        </w:rPr>
        <w:t>table S1</w:t>
      </w:r>
      <w:r w:rsidR="00247662">
        <w:rPr>
          <w:lang w:val="en-US"/>
        </w:rPr>
        <w:t xml:space="preserve"> in the Supporting Information</w:t>
      </w:r>
      <w:r w:rsidR="00372CE6">
        <w:rPr>
          <w:lang w:val="en-US"/>
        </w:rPr>
        <w:t xml:space="preserve">). </w:t>
      </w:r>
      <w:r w:rsidR="00F73248">
        <w:rPr>
          <w:lang w:val="en-US"/>
        </w:rPr>
        <w:t xml:space="preserve">These shorter bonds suggest their more pronounced double-bond character, and hence the more pronounced radical characters at the two edges. </w:t>
      </w:r>
      <w:r w:rsidR="004327C7">
        <w:rPr>
          <w:lang w:val="en-US"/>
        </w:rPr>
        <w:t xml:space="preserve"> </w:t>
      </w:r>
      <w:r w:rsidR="007E2361">
        <w:rPr>
          <w:lang w:val="en-US"/>
        </w:rPr>
        <w:t xml:space="preserve">Note that </w:t>
      </w:r>
      <w:r w:rsidR="00BC502E">
        <w:rPr>
          <w:lang w:val="en-US"/>
        </w:rPr>
        <w:t>the naphthalene-based wire (poly</w:t>
      </w:r>
      <w:r w:rsidR="00BA4025">
        <w:rPr>
          <w:lang w:val="en-US"/>
        </w:rPr>
        <w:t>-peri-naphthalene</w:t>
      </w:r>
      <w:r w:rsidR="00BC502E">
        <w:rPr>
          <w:lang w:val="en-US"/>
        </w:rPr>
        <w:t xml:space="preserve">) </w:t>
      </w:r>
      <w:r w:rsidR="00BC502E">
        <w:rPr>
          <w:lang w:val="en-US"/>
        </w:rPr>
        <w:lastRenderedPageBreak/>
        <w:t>has been amply described in the literature and is known to be stable</w:t>
      </w:r>
      <w:r w:rsidR="005D06C4">
        <w:rPr>
          <w:lang w:val="en-US"/>
        </w:rPr>
        <w:t>.</w:t>
      </w:r>
      <w:r w:rsidR="005D06C4" w:rsidRPr="009A3E45">
        <w:rPr>
          <w:rStyle w:val="Eindnootmarkering"/>
          <w:lang w:val="en-US"/>
        </w:rPr>
        <w:endnoteReference w:id="28"/>
      </w:r>
      <w:r w:rsidR="005D06C4" w:rsidRPr="009A3E45">
        <w:rPr>
          <w:vertAlign w:val="superscript"/>
          <w:lang w:val="en-US"/>
        </w:rPr>
        <w:t>,</w:t>
      </w:r>
      <w:r w:rsidR="005D06C4" w:rsidRPr="009A3E45">
        <w:rPr>
          <w:rStyle w:val="Eindnootmarkering"/>
          <w:lang w:val="en-US"/>
        </w:rPr>
        <w:endnoteReference w:id="29"/>
      </w:r>
      <w:r w:rsidR="005D06C4">
        <w:rPr>
          <w:lang w:val="en-US"/>
        </w:rPr>
        <w:t xml:space="preserve"> Bisanthene (n=2 in the </w:t>
      </w:r>
      <w:r w:rsidR="00372CE6">
        <w:rPr>
          <w:lang w:val="en-US"/>
        </w:rPr>
        <w:t>anthracene-based wire in Fig. 4a</w:t>
      </w:r>
      <w:r w:rsidR="000229F2">
        <w:rPr>
          <w:lang w:val="en-US"/>
        </w:rPr>
        <w:t>, without the linkers</w:t>
      </w:r>
      <w:r w:rsidR="005D06C4">
        <w:rPr>
          <w:lang w:val="en-US"/>
        </w:rPr>
        <w:t>) has been known to be stable enough to allow for regular spectroscopic measurements.</w:t>
      </w:r>
      <w:r w:rsidR="000802F5" w:rsidRPr="00905390">
        <w:rPr>
          <w:rStyle w:val="Eindnootmarkering"/>
          <w:lang w:val="en-US"/>
        </w:rPr>
        <w:endnoteReference w:id="30"/>
      </w:r>
      <w:r w:rsidR="008E54C1" w:rsidRPr="00905390">
        <w:rPr>
          <w:vertAlign w:val="superscript"/>
          <w:lang w:val="en-US"/>
        </w:rPr>
        <w:t>,</w:t>
      </w:r>
      <w:r w:rsidR="008E54C1" w:rsidRPr="00905390">
        <w:rPr>
          <w:rStyle w:val="Eindnootmarkering"/>
          <w:lang w:val="en-US"/>
        </w:rPr>
        <w:endnoteReference w:id="31"/>
      </w:r>
      <w:r w:rsidR="008E54C1" w:rsidRPr="00905390">
        <w:rPr>
          <w:vertAlign w:val="superscript"/>
          <w:lang w:val="en-US"/>
        </w:rPr>
        <w:t>,</w:t>
      </w:r>
      <w:r w:rsidR="008E54C1" w:rsidRPr="00905390">
        <w:rPr>
          <w:rStyle w:val="Eindnootmarkering"/>
          <w:lang w:val="en-US"/>
        </w:rPr>
        <w:endnoteReference w:id="32"/>
      </w:r>
      <w:r w:rsidR="008E54C1" w:rsidRPr="00905390">
        <w:rPr>
          <w:vertAlign w:val="superscript"/>
          <w:lang w:val="en-US"/>
        </w:rPr>
        <w:t>,</w:t>
      </w:r>
      <w:r w:rsidR="008E54C1" w:rsidRPr="00905390">
        <w:rPr>
          <w:rStyle w:val="Eindnootmarkering"/>
          <w:lang w:val="en-US"/>
        </w:rPr>
        <w:endnoteReference w:id="33"/>
      </w:r>
      <w:r w:rsidR="00CF0B75" w:rsidRPr="00905390">
        <w:rPr>
          <w:vertAlign w:val="superscript"/>
          <w:lang w:val="en-US"/>
        </w:rPr>
        <w:t>,</w:t>
      </w:r>
      <w:r w:rsidR="00CF0B75">
        <w:rPr>
          <w:rStyle w:val="Eindnootmarkering"/>
          <w:lang w:val="en-US"/>
        </w:rPr>
        <w:endnoteReference w:id="34"/>
      </w:r>
      <w:r w:rsidR="005D06C4">
        <w:rPr>
          <w:lang w:val="en-US"/>
        </w:rPr>
        <w:t xml:space="preserve"> Its </w:t>
      </w:r>
      <w:r w:rsidR="004836D9">
        <w:rPr>
          <w:lang w:val="en-US"/>
        </w:rPr>
        <w:t>stability can be enhanced by introducing bulky groups</w:t>
      </w:r>
      <w:r w:rsidR="00913D8F">
        <w:rPr>
          <w:lang w:val="en-US"/>
        </w:rPr>
        <w:t>.</w:t>
      </w:r>
      <w:r w:rsidR="009A3E45">
        <w:rPr>
          <w:rStyle w:val="Eindnootmarkering"/>
          <w:lang w:val="en-US"/>
        </w:rPr>
        <w:endnoteReference w:id="35"/>
      </w:r>
      <w:r w:rsidR="009C1ECB">
        <w:rPr>
          <w:lang w:val="en-US"/>
        </w:rPr>
        <w:t xml:space="preserve"> </w:t>
      </w:r>
      <w:r w:rsidR="00913D8F">
        <w:rPr>
          <w:lang w:val="en-US"/>
        </w:rPr>
        <w:t>As such,</w:t>
      </w:r>
      <w:r w:rsidR="009C1ECB">
        <w:rPr>
          <w:lang w:val="en-US"/>
        </w:rPr>
        <w:t xml:space="preserve"> </w:t>
      </w:r>
      <w:r w:rsidR="00174F0F">
        <w:rPr>
          <w:lang w:val="en-US"/>
        </w:rPr>
        <w:t>the anthracene-based wire</w:t>
      </w:r>
      <w:r w:rsidR="009C1ECB">
        <w:rPr>
          <w:lang w:val="en-US"/>
        </w:rPr>
        <w:t xml:space="preserve"> can be regarded as </w:t>
      </w:r>
      <w:r w:rsidR="00CA7853">
        <w:rPr>
          <w:lang w:val="en-US"/>
        </w:rPr>
        <w:t xml:space="preserve">a </w:t>
      </w:r>
      <w:r w:rsidR="009C1ECB">
        <w:rPr>
          <w:lang w:val="en-US"/>
        </w:rPr>
        <w:t xml:space="preserve">promising candidate for an experimentally verifiable molecular </w:t>
      </w:r>
      <w:r w:rsidR="000A45FD">
        <w:rPr>
          <w:lang w:val="en-US"/>
        </w:rPr>
        <w:t xml:space="preserve">anti-Ohmic </w:t>
      </w:r>
      <w:r w:rsidR="009C1ECB">
        <w:rPr>
          <w:lang w:val="en-US"/>
        </w:rPr>
        <w:t>wire</w:t>
      </w:r>
      <w:r w:rsidR="00BC502E">
        <w:rPr>
          <w:lang w:val="en-US"/>
        </w:rPr>
        <w:t xml:space="preserve">. </w:t>
      </w:r>
    </w:p>
    <w:p w14:paraId="57A6E491" w14:textId="1D06C923" w:rsidR="00A25B1A" w:rsidRDefault="00A73C10" w:rsidP="00A73C10">
      <w:pPr>
        <w:spacing w:line="480" w:lineRule="auto"/>
        <w:jc w:val="both"/>
        <w:rPr>
          <w:lang w:val="en-US"/>
        </w:rPr>
      </w:pPr>
      <w:r w:rsidRPr="008F61B3">
        <w:rPr>
          <w:noProof/>
        </w:rPr>
        <mc:AlternateContent>
          <mc:Choice Requires="wps">
            <w:drawing>
              <wp:anchor distT="0" distB="0" distL="114300" distR="114300" simplePos="0" relativeHeight="251663360" behindDoc="0" locked="0" layoutInCell="1" allowOverlap="1" wp14:anchorId="3D7ADEE6" wp14:editId="5E9AB5D7">
                <wp:simplePos x="0" y="0"/>
                <wp:positionH relativeFrom="margin">
                  <wp:posOffset>-55880</wp:posOffset>
                </wp:positionH>
                <wp:positionV relativeFrom="paragraph">
                  <wp:posOffset>4819015</wp:posOffset>
                </wp:positionV>
                <wp:extent cx="5829300" cy="685165"/>
                <wp:effectExtent l="0" t="0" r="12700" b="12700"/>
                <wp:wrapThrough wrapText="bothSides">
                  <wp:wrapPolygon edited="0">
                    <wp:start x="0" y="0"/>
                    <wp:lineTo x="0" y="20571"/>
                    <wp:lineTo x="21553" y="20571"/>
                    <wp:lineTo x="21553" y="0"/>
                    <wp:lineTo x="0" y="0"/>
                  </wp:wrapPolygon>
                </wp:wrapThrough>
                <wp:docPr id="11" name="Tekstvak 11"/>
                <wp:cNvGraphicFramePr/>
                <a:graphic xmlns:a="http://schemas.openxmlformats.org/drawingml/2006/main">
                  <a:graphicData uri="http://schemas.microsoft.com/office/word/2010/wordprocessingShape">
                    <wps:wsp>
                      <wps:cNvSpPr txBox="1"/>
                      <wps:spPr>
                        <a:xfrm>
                          <a:off x="0" y="0"/>
                          <a:ext cx="5829300" cy="68516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389B6BBD" w14:textId="49FC6142" w:rsidR="004327C7" w:rsidRPr="00A91200" w:rsidRDefault="004327C7" w:rsidP="008A07D8">
                            <w:pPr>
                              <w:pStyle w:val="Bijschrift"/>
                              <w:jc w:val="both"/>
                              <w:rPr>
                                <w:rFonts w:ascii="Times New Roman" w:hAnsi="Times New Roman" w:cs="Times New Roman"/>
                                <w:b w:val="0"/>
                                <w:iCs/>
                                <w:noProof/>
                                <w:color w:val="auto"/>
                                <w:sz w:val="24"/>
                                <w:szCs w:val="24"/>
                              </w:rPr>
                            </w:pPr>
                            <w:r w:rsidRPr="00A91200">
                              <w:rPr>
                                <w:iCs/>
                                <w:color w:val="auto"/>
                                <w:sz w:val="24"/>
                                <w:szCs w:val="24"/>
                              </w:rPr>
                              <w:t xml:space="preserve">Figure </w:t>
                            </w:r>
                            <w:r>
                              <w:rPr>
                                <w:iCs/>
                                <w:color w:val="auto"/>
                                <w:sz w:val="24"/>
                                <w:szCs w:val="24"/>
                              </w:rPr>
                              <w:t>4</w:t>
                            </w:r>
                            <w:r w:rsidRPr="00A91200">
                              <w:rPr>
                                <w:iCs/>
                                <w:color w:val="auto"/>
                                <w:sz w:val="24"/>
                                <w:szCs w:val="24"/>
                              </w:rPr>
                              <w:t xml:space="preserve">. </w:t>
                            </w:r>
                            <w:r>
                              <w:rPr>
                                <w:b w:val="0"/>
                                <w:bCs w:val="0"/>
                                <w:iCs/>
                                <w:color w:val="auto"/>
                                <w:sz w:val="24"/>
                                <w:szCs w:val="24"/>
                              </w:rPr>
                              <w:t>a) The fused naphthalene-, anthracene- and tetracene-based wires considered; transmission spectra for the three shortest analogues of b) the fused naphthalene-based wire, c) the fused anthracene-based wire, d) the fused tetracene-based wire.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7ADEE6" id="Tekstvak 11" o:spid="_x0000_s1028" type="#_x0000_t202" style="position:absolute;left:0;text-align:left;margin-left:-4.4pt;margin-top:379.45pt;width:459pt;height:53.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" stroked="f">
                <v:textbox style="mso-fit-shape-to-text:t" inset="0,0,0,0">
                  <w:txbxContent>
                    <w:p w14:paraId="389B6BBD" w14:textId="49FC6142" w:rsidR="004327C7" w:rsidRPr="00A91200" w:rsidRDefault="004327C7" w:rsidP="008A07D8">
                      <w:pPr>
                        <w:pStyle w:val="Bijschrift"/>
                        <w:jc w:val="both"/>
                        <w:rPr>
                          <w:rFonts w:ascii="Times New Roman" w:hAnsi="Times New Roman" w:cs="Times New Roman"/>
                          <w:b w:val="0"/>
                          <w:iCs/>
                          <w:noProof/>
                          <w:color w:val="auto"/>
                          <w:sz w:val="24"/>
                          <w:szCs w:val="24"/>
                        </w:rPr>
                      </w:pPr>
                      <w:r w:rsidRPr="00A91200">
                        <w:rPr>
                          <w:iCs/>
                          <w:color w:val="auto"/>
                          <w:sz w:val="24"/>
                          <w:szCs w:val="24"/>
                        </w:rPr>
                        <w:t xml:space="preserve">Figure </w:t>
                      </w:r>
                      <w:r>
                        <w:rPr>
                          <w:iCs/>
                          <w:color w:val="auto"/>
                          <w:sz w:val="24"/>
                          <w:szCs w:val="24"/>
                        </w:rPr>
                        <w:t>4</w:t>
                      </w:r>
                      <w:r w:rsidRPr="00A91200">
                        <w:rPr>
                          <w:iCs/>
                          <w:color w:val="auto"/>
                          <w:sz w:val="24"/>
                          <w:szCs w:val="24"/>
                        </w:rPr>
                        <w:t xml:space="preserve">. </w:t>
                      </w:r>
                      <w:r>
                        <w:rPr>
                          <w:b w:val="0"/>
                          <w:bCs w:val="0"/>
                          <w:iCs/>
                          <w:color w:val="auto"/>
                          <w:sz w:val="24"/>
                          <w:szCs w:val="24"/>
                        </w:rPr>
                        <w:t xml:space="preserve">a) The fused naphthalene-, anthracene- and </w:t>
                      </w:r>
                      <w:proofErr w:type="spellStart"/>
                      <w:r>
                        <w:rPr>
                          <w:b w:val="0"/>
                          <w:bCs w:val="0"/>
                          <w:iCs/>
                          <w:color w:val="auto"/>
                          <w:sz w:val="24"/>
                          <w:szCs w:val="24"/>
                        </w:rPr>
                        <w:t>tetracene</w:t>
                      </w:r>
                      <w:proofErr w:type="spellEnd"/>
                      <w:r>
                        <w:rPr>
                          <w:b w:val="0"/>
                          <w:bCs w:val="0"/>
                          <w:iCs/>
                          <w:color w:val="auto"/>
                          <w:sz w:val="24"/>
                          <w:szCs w:val="24"/>
                        </w:rPr>
                        <w:t xml:space="preserve">-based wires considered; transmission spectra for the three shortest analogues of b) the fused naphthalene-based wire, c) the fused anthracene-based wire, d) the fused </w:t>
                      </w:r>
                      <w:proofErr w:type="spellStart"/>
                      <w:r>
                        <w:rPr>
                          <w:b w:val="0"/>
                          <w:bCs w:val="0"/>
                          <w:iCs/>
                          <w:color w:val="auto"/>
                          <w:sz w:val="24"/>
                          <w:szCs w:val="24"/>
                        </w:rPr>
                        <w:t>tetracene</w:t>
                      </w:r>
                      <w:proofErr w:type="spellEnd"/>
                      <w:r>
                        <w:rPr>
                          <w:b w:val="0"/>
                          <w:bCs w:val="0"/>
                          <w:iCs/>
                          <w:color w:val="auto"/>
                          <w:sz w:val="24"/>
                          <w:szCs w:val="24"/>
                        </w:rPr>
                        <w:t>-based wire.</w:t>
                      </w:r>
                    </w:p>
                  </w:txbxContent>
                </v:textbox>
                <w10:wrap type="through" anchorx="margin"/>
              </v:shape>
            </w:pict>
          </mc:Fallback>
        </mc:AlternateContent>
      </w:r>
      <w:r>
        <w:rPr>
          <w:noProof/>
        </w:rPr>
        <w:drawing>
          <wp:inline distT="0" distB="0" distL="0" distR="0" wp14:anchorId="628EB145" wp14:editId="72BA272F">
            <wp:extent cx="6011660" cy="4716950"/>
            <wp:effectExtent l="0" t="0" r="8255" b="0"/>
            <wp:docPr id="2" name="Afbeelding 2" descr="wires_ev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res_evol.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25136" cy="4727523"/>
                    </a:xfrm>
                    <a:prstGeom prst="rect">
                      <a:avLst/>
                    </a:prstGeom>
                    <a:noFill/>
                    <a:ln>
                      <a:noFill/>
                    </a:ln>
                  </pic:spPr>
                </pic:pic>
              </a:graphicData>
            </a:graphic>
          </wp:inline>
        </w:drawing>
      </w:r>
    </w:p>
    <w:p w14:paraId="63F60124" w14:textId="77777777" w:rsidR="00AB3F19" w:rsidRDefault="001952C5" w:rsidP="00414B91">
      <w:pPr>
        <w:spacing w:line="480" w:lineRule="auto"/>
        <w:ind w:firstLine="708"/>
        <w:jc w:val="both"/>
        <w:rPr>
          <w:lang w:val="en-US"/>
        </w:rPr>
      </w:pPr>
      <w:r>
        <w:rPr>
          <w:lang w:val="en-US"/>
        </w:rPr>
        <w:t xml:space="preserve">Analysis of the transmission spectra in Fig. </w:t>
      </w:r>
      <w:r w:rsidR="008A07D8">
        <w:rPr>
          <w:lang w:val="en-US"/>
        </w:rPr>
        <w:t>4</w:t>
      </w:r>
      <w:r>
        <w:rPr>
          <w:lang w:val="en-US"/>
        </w:rPr>
        <w:t xml:space="preserve"> leads to the conclusion that</w:t>
      </w:r>
      <w:r w:rsidR="00461312">
        <w:rPr>
          <w:lang w:val="en-US"/>
        </w:rPr>
        <w:t xml:space="preserve"> the tipping point </w:t>
      </w:r>
      <w:r w:rsidR="00BD681A">
        <w:rPr>
          <w:lang w:val="en-US"/>
        </w:rPr>
        <w:t>in the diradical character</w:t>
      </w:r>
      <w:r w:rsidR="00950075">
        <w:rPr>
          <w:lang w:val="en-US"/>
        </w:rPr>
        <w:t>, alluded to in the previous paragraph</w:t>
      </w:r>
      <w:r>
        <w:rPr>
          <w:lang w:val="en-US"/>
        </w:rPr>
        <w:t>,</w:t>
      </w:r>
      <w:r w:rsidR="00BD681A">
        <w:rPr>
          <w:lang w:val="en-US"/>
        </w:rPr>
        <w:t xml:space="preserve"> </w:t>
      </w:r>
      <w:r w:rsidR="00461312">
        <w:rPr>
          <w:lang w:val="en-US"/>
        </w:rPr>
        <w:t xml:space="preserve">ought to be located </w:t>
      </w:r>
      <w:r w:rsidR="00E22A51">
        <w:rPr>
          <w:lang w:val="en-US"/>
        </w:rPr>
        <w:t xml:space="preserve">somewhere </w:t>
      </w:r>
      <w:r w:rsidR="00831B80">
        <w:rPr>
          <w:lang w:val="en-US"/>
        </w:rPr>
        <w:t>around</w:t>
      </w:r>
      <w:r w:rsidR="00BD681A">
        <w:rPr>
          <w:lang w:val="en-US"/>
        </w:rPr>
        <w:t xml:space="preserve"> n</w:t>
      </w:r>
      <w:r w:rsidR="00BD681A">
        <w:rPr>
          <w:vertAlign w:val="subscript"/>
          <w:lang w:val="en-US"/>
        </w:rPr>
        <w:t>L</w:t>
      </w:r>
      <w:r w:rsidR="00BD681A">
        <w:rPr>
          <w:lang w:val="en-US"/>
        </w:rPr>
        <w:t xml:space="preserve"> </w:t>
      </w:r>
      <w:r w:rsidR="007443CE">
        <w:rPr>
          <w:lang w:val="en-US"/>
        </w:rPr>
        <w:t xml:space="preserve">= </w:t>
      </w:r>
      <w:r w:rsidR="00657EF6">
        <w:rPr>
          <w:lang w:val="en-US"/>
        </w:rPr>
        <w:t>[</w:t>
      </w:r>
      <w:r w:rsidR="00BD681A">
        <w:rPr>
          <w:lang w:val="en-US"/>
        </w:rPr>
        <w:t>0.12</w:t>
      </w:r>
      <w:r w:rsidR="00657EF6">
        <w:rPr>
          <w:lang w:val="en-US"/>
        </w:rPr>
        <w:t>,</w:t>
      </w:r>
      <w:r w:rsidR="00BD681A">
        <w:rPr>
          <w:lang w:val="en-US"/>
        </w:rPr>
        <w:t xml:space="preserve"> 0.15</w:t>
      </w:r>
      <w:r w:rsidR="00657EF6">
        <w:rPr>
          <w:lang w:val="en-US"/>
        </w:rPr>
        <w:t>]</w:t>
      </w:r>
      <w:r w:rsidR="00BD681A">
        <w:rPr>
          <w:lang w:val="en-US"/>
        </w:rPr>
        <w:t xml:space="preserve">. </w:t>
      </w:r>
      <w:r w:rsidR="003D5462">
        <w:rPr>
          <w:lang w:val="en-US"/>
        </w:rPr>
        <w:t>We note here that t</w:t>
      </w:r>
      <w:r w:rsidR="0023753B">
        <w:rPr>
          <w:lang w:val="en-US"/>
        </w:rPr>
        <w:t xml:space="preserve">he numerical value of this tipping </w:t>
      </w:r>
      <w:r w:rsidR="0023753B">
        <w:rPr>
          <w:lang w:val="en-US"/>
        </w:rPr>
        <w:lastRenderedPageBreak/>
        <w:t xml:space="preserve">point should not be interpreted as an </w:t>
      </w:r>
      <w:r w:rsidR="00F113B5">
        <w:rPr>
          <w:lang w:val="en-US"/>
        </w:rPr>
        <w:t>absolute/</w:t>
      </w:r>
      <w:r w:rsidR="00B533B1">
        <w:rPr>
          <w:lang w:val="en-US"/>
        </w:rPr>
        <w:t>”</w:t>
      </w:r>
      <w:r w:rsidR="0023753B">
        <w:rPr>
          <w:lang w:val="en-US"/>
        </w:rPr>
        <w:t>hard</w:t>
      </w:r>
      <w:r w:rsidR="00B533B1">
        <w:rPr>
          <w:lang w:val="en-US"/>
        </w:rPr>
        <w:t>”</w:t>
      </w:r>
      <w:r w:rsidR="0023753B">
        <w:rPr>
          <w:lang w:val="en-US"/>
        </w:rPr>
        <w:t xml:space="preserve"> value: n</w:t>
      </w:r>
      <w:r w:rsidR="0023753B">
        <w:rPr>
          <w:vertAlign w:val="subscript"/>
          <w:lang w:val="en-US"/>
        </w:rPr>
        <w:t>L</w:t>
      </w:r>
      <w:r w:rsidR="0023753B">
        <w:rPr>
          <w:lang w:val="en-US"/>
        </w:rPr>
        <w:t xml:space="preserve"> values are dependent on</w:t>
      </w:r>
      <w:r w:rsidR="003D5462">
        <w:rPr>
          <w:lang w:val="en-US"/>
        </w:rPr>
        <w:t xml:space="preserve"> th</w:t>
      </w:r>
      <w:r w:rsidR="0023753B">
        <w:rPr>
          <w:lang w:val="en-US"/>
        </w:rPr>
        <w:t>e active space, correlation treatment and basis set</w:t>
      </w:r>
      <w:r w:rsidR="00DD2293">
        <w:rPr>
          <w:lang w:val="en-US"/>
        </w:rPr>
        <w:t xml:space="preserve"> employed</w:t>
      </w:r>
      <w:r w:rsidR="00414B91">
        <w:rPr>
          <w:lang w:val="en-US"/>
        </w:rPr>
        <w:t>.</w:t>
      </w:r>
      <w:r w:rsidR="0023753B">
        <w:rPr>
          <w:lang w:val="en-US"/>
        </w:rPr>
        <w:t xml:space="preserve"> </w:t>
      </w:r>
      <w:r w:rsidR="00414B91">
        <w:rPr>
          <w:lang w:val="en-US"/>
        </w:rPr>
        <w:t>N</w:t>
      </w:r>
      <w:r w:rsidR="0023753B">
        <w:rPr>
          <w:lang w:val="en-US"/>
        </w:rPr>
        <w:t>evertheless, in a first approximation</w:t>
      </w:r>
      <w:r w:rsidR="00DD2293">
        <w:rPr>
          <w:lang w:val="en-US"/>
        </w:rPr>
        <w:t>,</w:t>
      </w:r>
      <w:r w:rsidR="0023753B">
        <w:rPr>
          <w:lang w:val="en-US"/>
        </w:rPr>
        <w:t xml:space="preserve"> the values obtained for different compounds</w:t>
      </w:r>
      <w:r w:rsidR="003D5462">
        <w:rPr>
          <w:lang w:val="en-US"/>
        </w:rPr>
        <w:t xml:space="preserve"> can be compared with one another to estimate the relative diradical character when a consistent methodology is used</w:t>
      </w:r>
      <w:r w:rsidR="0023753B">
        <w:rPr>
          <w:lang w:val="en-US"/>
        </w:rPr>
        <w:t xml:space="preserve">. </w:t>
      </w:r>
    </w:p>
    <w:p w14:paraId="62E73805" w14:textId="08DE0AE3" w:rsidR="00566F47" w:rsidRDefault="000F0945" w:rsidP="00597D6C">
      <w:pPr>
        <w:spacing w:line="480" w:lineRule="auto"/>
        <w:ind w:firstLine="708"/>
        <w:jc w:val="both"/>
        <w:rPr>
          <w:lang w:val="en-US"/>
        </w:rPr>
      </w:pPr>
      <w:r>
        <w:rPr>
          <w:lang w:val="en-US"/>
        </w:rPr>
        <w:t>In Fig. 5, we</w:t>
      </w:r>
      <w:r w:rsidR="003D5462">
        <w:rPr>
          <w:lang w:val="en-US"/>
        </w:rPr>
        <w:t xml:space="preserve"> </w:t>
      </w:r>
      <w:r>
        <w:rPr>
          <w:lang w:val="en-US"/>
        </w:rPr>
        <w:t>compare the n</w:t>
      </w:r>
      <w:r w:rsidRPr="00ED0DDC">
        <w:rPr>
          <w:vertAlign w:val="subscript"/>
          <w:lang w:val="en-US"/>
        </w:rPr>
        <w:t>L</w:t>
      </w:r>
      <w:r w:rsidR="00905A68">
        <w:rPr>
          <w:lang w:val="en-US"/>
        </w:rPr>
        <w:t xml:space="preserve"> values</w:t>
      </w:r>
      <w:r>
        <w:rPr>
          <w:lang w:val="en-US"/>
        </w:rPr>
        <w:t xml:space="preserve"> of </w:t>
      </w:r>
      <w:r w:rsidR="00A55856">
        <w:rPr>
          <w:lang w:val="en-US"/>
        </w:rPr>
        <w:t xml:space="preserve">the </w:t>
      </w:r>
      <w:r w:rsidR="00C172D3">
        <w:rPr>
          <w:lang w:val="en-US"/>
        </w:rPr>
        <w:t xml:space="preserve">monomers of the </w:t>
      </w:r>
      <w:r w:rsidR="00A55856">
        <w:rPr>
          <w:lang w:val="en-US"/>
        </w:rPr>
        <w:t xml:space="preserve">different wires </w:t>
      </w:r>
      <w:r>
        <w:rPr>
          <w:lang w:val="en-US"/>
        </w:rPr>
        <w:t xml:space="preserve">that have been </w:t>
      </w:r>
      <w:r w:rsidR="00A55856">
        <w:rPr>
          <w:lang w:val="en-US"/>
        </w:rPr>
        <w:t>pr</w:t>
      </w:r>
      <w:r w:rsidR="00C172D3">
        <w:rPr>
          <w:lang w:val="en-US"/>
        </w:rPr>
        <w:t>oposed. In our recent study on the captodative effec</w:t>
      </w:r>
      <w:r w:rsidR="00976314">
        <w:rPr>
          <w:lang w:val="en-US"/>
        </w:rPr>
        <w:t>t,</w:t>
      </w:r>
      <w:r w:rsidR="002512BE" w:rsidRPr="0061432A">
        <w:rPr>
          <w:vertAlign w:val="superscript"/>
          <w:lang w:val="en-US"/>
        </w:rPr>
        <w:fldChar w:fldCharType="begin"/>
      </w:r>
      <w:r w:rsidR="002512BE" w:rsidRPr="0061432A">
        <w:rPr>
          <w:vertAlign w:val="superscript"/>
          <w:lang w:val="en-US"/>
        </w:rPr>
        <w:instrText xml:space="preserve"> NOTEREF _Ref521937644 \h </w:instrText>
      </w:r>
      <w:r w:rsidR="002512BE">
        <w:rPr>
          <w:vertAlign w:val="superscript"/>
          <w:lang w:val="en-US"/>
        </w:rPr>
        <w:instrText xml:space="preserve"> \* MERGEFORMAT </w:instrText>
      </w:r>
      <w:r w:rsidR="002512BE" w:rsidRPr="0061432A">
        <w:rPr>
          <w:vertAlign w:val="superscript"/>
          <w:lang w:val="en-US"/>
        </w:rPr>
      </w:r>
      <w:r w:rsidR="002512BE" w:rsidRPr="0061432A">
        <w:rPr>
          <w:vertAlign w:val="superscript"/>
          <w:lang w:val="en-US"/>
        </w:rPr>
        <w:fldChar w:fldCharType="separate"/>
      </w:r>
      <w:r w:rsidR="005E3C6C">
        <w:rPr>
          <w:vertAlign w:val="superscript"/>
          <w:lang w:val="en-US"/>
        </w:rPr>
        <w:t>9</w:t>
      </w:r>
      <w:r w:rsidR="002512BE" w:rsidRPr="0061432A">
        <w:rPr>
          <w:vertAlign w:val="superscript"/>
          <w:lang w:val="en-US"/>
        </w:rPr>
        <w:fldChar w:fldCharType="end"/>
      </w:r>
      <w:r w:rsidR="00976314">
        <w:rPr>
          <w:lang w:val="en-US"/>
        </w:rPr>
        <w:t xml:space="preserve"> we started from an oligophenyl</w:t>
      </w:r>
      <w:r w:rsidR="00C172D3">
        <w:rPr>
          <w:lang w:val="en-US"/>
        </w:rPr>
        <w:t xml:space="preserve"> parental </w:t>
      </w:r>
      <w:r w:rsidR="00976314">
        <w:rPr>
          <w:lang w:val="en-US"/>
        </w:rPr>
        <w:t>wire</w:t>
      </w:r>
      <w:r w:rsidR="00C172D3">
        <w:rPr>
          <w:lang w:val="en-US"/>
        </w:rPr>
        <w:t xml:space="preserve"> (n</w:t>
      </w:r>
      <w:r w:rsidR="00C172D3">
        <w:rPr>
          <w:vertAlign w:val="subscript"/>
          <w:lang w:val="en-US"/>
        </w:rPr>
        <w:t>L</w:t>
      </w:r>
      <w:r w:rsidR="00C172D3">
        <w:rPr>
          <w:lang w:val="en-US"/>
        </w:rPr>
        <w:t xml:space="preserve"> = 0.10</w:t>
      </w:r>
      <w:r w:rsidR="00434B44">
        <w:rPr>
          <w:lang w:val="en-US"/>
        </w:rPr>
        <w:t xml:space="preserve"> for</w:t>
      </w:r>
      <w:r w:rsidR="00757BD5">
        <w:rPr>
          <w:lang w:val="en-US"/>
        </w:rPr>
        <w:t xml:space="preserve"> its monomer:</w:t>
      </w:r>
      <w:r w:rsidR="00434B44">
        <w:rPr>
          <w:lang w:val="en-US"/>
        </w:rPr>
        <w:t xml:space="preserve"> benzene</w:t>
      </w:r>
      <w:r w:rsidR="00C172D3">
        <w:rPr>
          <w:lang w:val="en-US"/>
        </w:rPr>
        <w:t>)</w:t>
      </w:r>
      <w:r w:rsidR="00976314">
        <w:rPr>
          <w:lang w:val="en-US"/>
        </w:rPr>
        <w:t xml:space="preserve">, </w:t>
      </w:r>
      <w:r w:rsidR="00757BD5">
        <w:rPr>
          <w:lang w:val="en-US"/>
        </w:rPr>
        <w:t>which exhibited</w:t>
      </w:r>
      <w:r w:rsidR="00976314">
        <w:rPr>
          <w:lang w:val="en-US"/>
        </w:rPr>
        <w:t xml:space="preserve"> </w:t>
      </w:r>
      <w:r w:rsidR="00581E5B">
        <w:rPr>
          <w:lang w:val="en-US"/>
        </w:rPr>
        <w:t>an Ohmic behavior</w:t>
      </w:r>
      <w:r w:rsidR="00D40FCA">
        <w:rPr>
          <w:lang w:val="en-US"/>
        </w:rPr>
        <w:t>. When the diradical character is enhanced by</w:t>
      </w:r>
      <w:r w:rsidR="00C172D3">
        <w:rPr>
          <w:lang w:val="en-US"/>
        </w:rPr>
        <w:t xml:space="preserve"> c</w:t>
      </w:r>
      <w:r w:rsidR="00757BD5">
        <w:rPr>
          <w:lang w:val="en-US"/>
        </w:rPr>
        <w:t>aptodative substitutions on the</w:t>
      </w:r>
      <w:r w:rsidR="00C172D3">
        <w:rPr>
          <w:lang w:val="en-US"/>
        </w:rPr>
        <w:t xml:space="preserve"> </w:t>
      </w:r>
      <w:r w:rsidR="00757BD5">
        <w:rPr>
          <w:lang w:val="en-US"/>
        </w:rPr>
        <w:t>benzene monomer</w:t>
      </w:r>
      <w:r w:rsidR="00C172D3">
        <w:rPr>
          <w:lang w:val="en-US"/>
        </w:rPr>
        <w:t xml:space="preserve"> </w:t>
      </w:r>
      <w:r w:rsidR="00AE0646">
        <w:rPr>
          <w:lang w:val="en-US"/>
        </w:rPr>
        <w:t>(</w:t>
      </w:r>
      <w:r w:rsidR="00414B91">
        <w:rPr>
          <w:lang w:val="en-US"/>
        </w:rPr>
        <w:t xml:space="preserve">e.g. </w:t>
      </w:r>
      <w:r w:rsidR="00AE0646">
        <w:rPr>
          <w:lang w:val="en-US"/>
        </w:rPr>
        <w:t>diazadiborine, n</w:t>
      </w:r>
      <w:r w:rsidR="00AE0646" w:rsidRPr="00DE7FD6">
        <w:rPr>
          <w:vertAlign w:val="subscript"/>
          <w:lang w:val="en-US"/>
        </w:rPr>
        <w:t>L</w:t>
      </w:r>
      <w:r w:rsidR="00AE0646">
        <w:rPr>
          <w:lang w:val="en-US"/>
        </w:rPr>
        <w:t xml:space="preserve"> = 0.15)</w:t>
      </w:r>
      <w:r w:rsidR="00D40FCA">
        <w:rPr>
          <w:lang w:val="en-US"/>
        </w:rPr>
        <w:t>,</w:t>
      </w:r>
      <w:r w:rsidR="00C172D3">
        <w:rPr>
          <w:lang w:val="en-US"/>
        </w:rPr>
        <w:t xml:space="preserve"> the conductance started increasing with </w:t>
      </w:r>
      <w:r w:rsidR="00757BD5">
        <w:rPr>
          <w:lang w:val="en-US"/>
        </w:rPr>
        <w:t xml:space="preserve">the </w:t>
      </w:r>
      <w:r w:rsidR="00C172D3">
        <w:rPr>
          <w:lang w:val="en-US"/>
        </w:rPr>
        <w:t>length</w:t>
      </w:r>
      <w:r w:rsidR="00757BD5">
        <w:rPr>
          <w:lang w:val="en-US"/>
        </w:rPr>
        <w:t xml:space="preserve"> of the wire</w:t>
      </w:r>
      <w:r w:rsidR="00C172D3">
        <w:rPr>
          <w:lang w:val="en-US"/>
        </w:rPr>
        <w:t xml:space="preserve">. All the substituted </w:t>
      </w:r>
      <w:r w:rsidR="00757BD5">
        <w:rPr>
          <w:lang w:val="en-US"/>
        </w:rPr>
        <w:t>monomers</w:t>
      </w:r>
      <w:r w:rsidR="00C172D3">
        <w:rPr>
          <w:lang w:val="en-US"/>
        </w:rPr>
        <w:t xml:space="preserve"> that</w:t>
      </w:r>
      <w:r w:rsidR="00757BD5">
        <w:rPr>
          <w:lang w:val="en-US"/>
        </w:rPr>
        <w:t xml:space="preserve"> lead to wires which</w:t>
      </w:r>
      <w:r w:rsidR="00C172D3">
        <w:rPr>
          <w:lang w:val="en-US"/>
        </w:rPr>
        <w:t xml:space="preserve"> exhibited </w:t>
      </w:r>
      <w:r w:rsidR="001748C2">
        <w:rPr>
          <w:lang w:val="en-US"/>
        </w:rPr>
        <w:t>the anti-Ohmic</w:t>
      </w:r>
      <w:r w:rsidR="00C172D3">
        <w:rPr>
          <w:lang w:val="en-US"/>
        </w:rPr>
        <w:t xml:space="preserve"> behavior had n</w:t>
      </w:r>
      <w:r w:rsidR="00C172D3">
        <w:rPr>
          <w:vertAlign w:val="subscript"/>
          <w:lang w:val="en-US"/>
        </w:rPr>
        <w:t>L</w:t>
      </w:r>
      <w:r w:rsidR="00566F47">
        <w:rPr>
          <w:lang w:val="en-US"/>
        </w:rPr>
        <w:t xml:space="preserve"> </w:t>
      </w:r>
      <w:r w:rsidR="00AB563A">
        <w:rPr>
          <w:rFonts w:ascii="Calibri" w:hAnsi="Calibri"/>
          <w:lang w:val="en-US"/>
        </w:rPr>
        <w:t>≥</w:t>
      </w:r>
      <w:r w:rsidR="00AB563A">
        <w:rPr>
          <w:lang w:val="en-US"/>
        </w:rPr>
        <w:t xml:space="preserve"> </w:t>
      </w:r>
      <w:r w:rsidR="00566F47">
        <w:rPr>
          <w:lang w:val="en-US"/>
        </w:rPr>
        <w:t>0.15;</w:t>
      </w:r>
      <w:r w:rsidR="00C172D3">
        <w:rPr>
          <w:lang w:val="en-US"/>
        </w:rPr>
        <w:t xml:space="preserve"> the n</w:t>
      </w:r>
      <w:r w:rsidR="00C172D3">
        <w:rPr>
          <w:vertAlign w:val="subscript"/>
          <w:lang w:val="en-US"/>
        </w:rPr>
        <w:t>L</w:t>
      </w:r>
      <w:r w:rsidR="00C172D3">
        <w:rPr>
          <w:lang w:val="en-US"/>
        </w:rPr>
        <w:t xml:space="preserve"> value of anthracene.</w:t>
      </w:r>
      <w:r w:rsidR="00C172D3" w:rsidRPr="0061432A">
        <w:rPr>
          <w:vertAlign w:val="superscript"/>
          <w:lang w:val="en-US"/>
        </w:rPr>
        <w:t xml:space="preserve"> </w:t>
      </w:r>
      <w:r w:rsidR="00DD2876" w:rsidRPr="001952C5">
        <w:rPr>
          <w:color w:val="000000" w:themeColor="text1"/>
          <w:lang w:val="en-US"/>
        </w:rPr>
        <w:t>Butatriene</w:t>
      </w:r>
      <w:r w:rsidR="00C172D3">
        <w:rPr>
          <w:lang w:val="en-US"/>
        </w:rPr>
        <w:t xml:space="preserve">, the </w:t>
      </w:r>
      <w:r w:rsidR="00DD2876">
        <w:rPr>
          <w:lang w:val="en-US"/>
        </w:rPr>
        <w:t>starting point</w:t>
      </w:r>
      <w:r w:rsidR="00C172D3">
        <w:rPr>
          <w:lang w:val="en-US"/>
        </w:rPr>
        <w:t xml:space="preserve"> of the </w:t>
      </w:r>
      <w:r w:rsidR="001952C5">
        <w:rPr>
          <w:lang w:val="en-US"/>
        </w:rPr>
        <w:t xml:space="preserve">cumulene-based </w:t>
      </w:r>
      <w:r w:rsidR="00C172D3">
        <w:rPr>
          <w:lang w:val="en-US"/>
        </w:rPr>
        <w:t xml:space="preserve">wire proposed by Garner </w:t>
      </w:r>
      <w:r w:rsidR="00C172D3" w:rsidRPr="00434B44">
        <w:rPr>
          <w:i/>
          <w:iCs/>
          <w:lang w:val="en-US"/>
        </w:rPr>
        <w:t>et al.</w:t>
      </w:r>
      <w:r w:rsidR="00C356E4">
        <w:rPr>
          <w:lang w:val="en-US"/>
        </w:rPr>
        <w:t>,</w:t>
      </w:r>
      <w:r w:rsidR="00C172D3">
        <w:rPr>
          <w:lang w:val="en-US"/>
        </w:rPr>
        <w:t xml:space="preserve"> </w:t>
      </w:r>
      <w:r w:rsidR="00950075">
        <w:rPr>
          <w:lang w:val="en-US"/>
        </w:rPr>
        <w:t>turns out to have</w:t>
      </w:r>
      <w:r w:rsidR="00C172D3">
        <w:rPr>
          <w:lang w:val="en-US"/>
        </w:rPr>
        <w:t xml:space="preserve"> an n</w:t>
      </w:r>
      <w:r w:rsidR="00C172D3">
        <w:rPr>
          <w:vertAlign w:val="subscript"/>
          <w:lang w:val="en-US"/>
        </w:rPr>
        <w:t>L</w:t>
      </w:r>
      <w:r w:rsidR="00C172D3">
        <w:rPr>
          <w:lang w:val="en-US"/>
        </w:rPr>
        <w:t xml:space="preserve"> of 0.16, </w:t>
      </w:r>
      <w:r w:rsidR="00950075">
        <w:rPr>
          <w:lang w:val="en-US"/>
        </w:rPr>
        <w:t xml:space="preserve">also </w:t>
      </w:r>
      <w:r w:rsidR="00C172D3">
        <w:rPr>
          <w:lang w:val="en-US"/>
        </w:rPr>
        <w:t>above the estimated tipping point.</w:t>
      </w:r>
      <w:r w:rsidR="0061432A" w:rsidRPr="0061432A">
        <w:rPr>
          <w:vertAlign w:val="superscript"/>
          <w:lang w:val="en-US"/>
        </w:rPr>
        <w:fldChar w:fldCharType="begin"/>
      </w:r>
      <w:r w:rsidR="0061432A" w:rsidRPr="0061432A">
        <w:rPr>
          <w:vertAlign w:val="superscript"/>
          <w:lang w:val="en-US"/>
        </w:rPr>
        <w:instrText xml:space="preserve"> NOTEREF _Ref521937635 \h </w:instrText>
      </w:r>
      <w:r w:rsidR="0061432A">
        <w:rPr>
          <w:vertAlign w:val="superscript"/>
          <w:lang w:val="en-US"/>
        </w:rPr>
        <w:instrText xml:space="preserve"> \* MERGEFORMAT </w:instrText>
      </w:r>
      <w:r w:rsidR="0061432A" w:rsidRPr="0061432A">
        <w:rPr>
          <w:vertAlign w:val="superscript"/>
          <w:lang w:val="en-US"/>
        </w:rPr>
      </w:r>
      <w:r w:rsidR="0061432A" w:rsidRPr="0061432A">
        <w:rPr>
          <w:vertAlign w:val="superscript"/>
          <w:lang w:val="en-US"/>
        </w:rPr>
        <w:fldChar w:fldCharType="separate"/>
      </w:r>
      <w:r w:rsidR="005E3C6C">
        <w:rPr>
          <w:vertAlign w:val="superscript"/>
          <w:lang w:val="en-US"/>
        </w:rPr>
        <w:t>12</w:t>
      </w:r>
      <w:r w:rsidR="0061432A" w:rsidRPr="0061432A">
        <w:rPr>
          <w:vertAlign w:val="superscript"/>
          <w:lang w:val="en-US"/>
        </w:rPr>
        <w:fldChar w:fldCharType="end"/>
      </w:r>
      <w:r w:rsidR="00C172D3">
        <w:rPr>
          <w:lang w:val="en-US"/>
        </w:rPr>
        <w:t xml:space="preserve"> </w:t>
      </w:r>
      <w:r w:rsidR="00A55856">
        <w:rPr>
          <w:lang w:val="en-US"/>
        </w:rPr>
        <w:t xml:space="preserve">For porphyrin, our calculations </w:t>
      </w:r>
      <w:r w:rsidR="008F61D2">
        <w:rPr>
          <w:lang w:val="en-US"/>
        </w:rPr>
        <w:t>obtain</w:t>
      </w:r>
      <w:r w:rsidR="00A55856">
        <w:rPr>
          <w:lang w:val="en-US"/>
        </w:rPr>
        <w:t xml:space="preserve"> an n</w:t>
      </w:r>
      <w:r w:rsidR="00A55856">
        <w:rPr>
          <w:vertAlign w:val="subscript"/>
          <w:lang w:val="en-US"/>
        </w:rPr>
        <w:t>L</w:t>
      </w:r>
      <w:r w:rsidR="00A55856">
        <w:rPr>
          <w:lang w:val="en-US"/>
        </w:rPr>
        <w:t xml:space="preserve"> of 0.13, which falls right in between the values for naphthalene and anthracene</w:t>
      </w:r>
      <w:r w:rsidR="00566F47">
        <w:rPr>
          <w:lang w:val="en-US"/>
        </w:rPr>
        <w:t xml:space="preserve"> and should thus be </w:t>
      </w:r>
      <w:r w:rsidR="009D6F1E">
        <w:rPr>
          <w:lang w:val="en-US"/>
        </w:rPr>
        <w:t xml:space="preserve">in the </w:t>
      </w:r>
      <w:r w:rsidR="00CE31CF">
        <w:rPr>
          <w:lang w:val="en-US"/>
        </w:rPr>
        <w:t>border</w:t>
      </w:r>
      <w:r w:rsidR="009D6F1E">
        <w:rPr>
          <w:lang w:val="en-US"/>
        </w:rPr>
        <w:t xml:space="preserve"> area</w:t>
      </w:r>
      <w:r w:rsidR="00AC0030">
        <w:rPr>
          <w:lang w:val="en-US"/>
        </w:rPr>
        <w:t>.</w:t>
      </w:r>
      <w:r w:rsidR="001952C5">
        <w:rPr>
          <w:lang w:val="en-US"/>
        </w:rPr>
        <w:t xml:space="preserve"> The </w:t>
      </w:r>
      <w:r w:rsidR="00C356E4">
        <w:rPr>
          <w:lang w:val="en-US"/>
        </w:rPr>
        <w:t xml:space="preserve">transport </w:t>
      </w:r>
      <w:r w:rsidR="001952C5">
        <w:rPr>
          <w:lang w:val="en-US"/>
        </w:rPr>
        <w:t xml:space="preserve">calculations performed by Algethami </w:t>
      </w:r>
      <w:r w:rsidR="001952C5" w:rsidRPr="001952C5">
        <w:rPr>
          <w:i/>
          <w:iCs/>
          <w:lang w:val="en-US"/>
        </w:rPr>
        <w:t>et al.</w:t>
      </w:r>
      <w:r w:rsidR="001952C5">
        <w:rPr>
          <w:lang w:val="en-US"/>
        </w:rPr>
        <w:t xml:space="preserve"> </w:t>
      </w:r>
      <w:r w:rsidR="00FF08C7">
        <w:rPr>
          <w:lang w:val="en-US"/>
        </w:rPr>
        <w:t xml:space="preserve">on porphyrin-based wires </w:t>
      </w:r>
      <w:r w:rsidR="001952C5">
        <w:rPr>
          <w:lang w:val="en-US"/>
        </w:rPr>
        <w:t>pointed to an extremely mild (and Fermi level dependent) increase in conductance</w:t>
      </w:r>
      <w:r w:rsidR="005D366A">
        <w:rPr>
          <w:lang w:val="en-US"/>
        </w:rPr>
        <w:t xml:space="preserve">. Our </w:t>
      </w:r>
      <w:r w:rsidR="001952C5">
        <w:rPr>
          <w:lang w:val="en-US"/>
        </w:rPr>
        <w:t xml:space="preserve">own calculations </w:t>
      </w:r>
      <w:r w:rsidR="00C961F9">
        <w:rPr>
          <w:lang w:val="en-US"/>
        </w:rPr>
        <w:t xml:space="preserve">indicate </w:t>
      </w:r>
      <w:r w:rsidR="001952C5">
        <w:rPr>
          <w:lang w:val="en-US"/>
        </w:rPr>
        <w:t>a slight decrease in conductance with length (</w:t>
      </w:r>
      <w:r w:rsidR="00597D6C">
        <w:rPr>
          <w:lang w:val="en-US"/>
        </w:rPr>
        <w:t>cf.</w:t>
      </w:r>
      <w:r w:rsidR="001952C5">
        <w:rPr>
          <w:lang w:val="en-US"/>
        </w:rPr>
        <w:t xml:space="preserve"> </w:t>
      </w:r>
      <w:r w:rsidR="00597D6C">
        <w:rPr>
          <w:lang w:val="en-US"/>
        </w:rPr>
        <w:t xml:space="preserve">Fig. S3 in the </w:t>
      </w:r>
      <w:r w:rsidR="001952C5">
        <w:rPr>
          <w:lang w:val="en-US"/>
        </w:rPr>
        <w:t xml:space="preserve">Supporting Information). </w:t>
      </w:r>
      <w:r w:rsidR="000E6B86">
        <w:rPr>
          <w:lang w:val="en-US"/>
        </w:rPr>
        <w:t>Furthermore, the Zn-</w:t>
      </w:r>
      <w:r w:rsidR="0023753B">
        <w:rPr>
          <w:lang w:val="en-US"/>
        </w:rPr>
        <w:t>coordinated</w:t>
      </w:r>
      <w:r w:rsidR="000E6B86">
        <w:rPr>
          <w:lang w:val="en-US"/>
        </w:rPr>
        <w:t xml:space="preserve"> analogue of porphyrin turns out to exhibit a reduced diradical character</w:t>
      </w:r>
      <w:r w:rsidR="001952C5">
        <w:rPr>
          <w:lang w:val="en-US"/>
        </w:rPr>
        <w:t xml:space="preserve"> compared to the </w:t>
      </w:r>
      <w:r w:rsidR="00F232C5">
        <w:rPr>
          <w:lang w:val="en-US"/>
        </w:rPr>
        <w:t xml:space="preserve">uncoordinated </w:t>
      </w:r>
      <w:r w:rsidR="001952C5">
        <w:rPr>
          <w:lang w:val="en-US"/>
        </w:rPr>
        <w:t>porphyrin</w:t>
      </w:r>
      <w:r w:rsidR="000A2886">
        <w:rPr>
          <w:lang w:val="en-US"/>
        </w:rPr>
        <w:t xml:space="preserve">, with </w:t>
      </w:r>
      <w:r w:rsidR="004C5F1A">
        <w:rPr>
          <w:lang w:val="en-US"/>
        </w:rPr>
        <w:t>a smaller 0.10</w:t>
      </w:r>
      <w:r w:rsidR="000A2886">
        <w:rPr>
          <w:lang w:val="en-US"/>
        </w:rPr>
        <w:t xml:space="preserve"> </w:t>
      </w:r>
      <w:r w:rsidR="000E6B86">
        <w:rPr>
          <w:lang w:val="en-US"/>
        </w:rPr>
        <w:t>n</w:t>
      </w:r>
      <w:r w:rsidR="000E6B86">
        <w:rPr>
          <w:vertAlign w:val="subscript"/>
          <w:lang w:val="en-US"/>
        </w:rPr>
        <w:t>L</w:t>
      </w:r>
      <w:r w:rsidR="000E6B86">
        <w:rPr>
          <w:lang w:val="en-US"/>
        </w:rPr>
        <w:t>. This is the exact same value as was obtained for benzene and just like the oligophenyl wire, the available experimental data point to a</w:t>
      </w:r>
      <w:r w:rsidR="000F6832">
        <w:rPr>
          <w:lang w:val="en-US"/>
        </w:rPr>
        <w:t>n</w:t>
      </w:r>
      <w:r w:rsidR="000E6B86">
        <w:rPr>
          <w:lang w:val="en-US"/>
        </w:rPr>
        <w:t xml:space="preserve"> </w:t>
      </w:r>
      <w:r w:rsidR="000F6832">
        <w:rPr>
          <w:lang w:val="en-US"/>
        </w:rPr>
        <w:t xml:space="preserve">Ohmic </w:t>
      </w:r>
      <w:r w:rsidR="000E6B86">
        <w:rPr>
          <w:lang w:val="en-US"/>
        </w:rPr>
        <w:t>conductance for this fused Zn-complexed porphyrinoid wire.</w:t>
      </w:r>
      <w:r w:rsidR="000E6B86" w:rsidRPr="000E6B86">
        <w:rPr>
          <w:vertAlign w:val="superscript"/>
          <w:lang w:val="en-US"/>
        </w:rPr>
        <w:fldChar w:fldCharType="begin"/>
      </w:r>
      <w:r w:rsidR="000E6B86" w:rsidRPr="000E6B86">
        <w:rPr>
          <w:vertAlign w:val="superscript"/>
          <w:lang w:val="en-US"/>
        </w:rPr>
        <w:instrText xml:space="preserve"> NOTEREF _Ref522314740 \h </w:instrText>
      </w:r>
      <w:r w:rsidR="000E6B86">
        <w:rPr>
          <w:vertAlign w:val="superscript"/>
          <w:lang w:val="en-US"/>
        </w:rPr>
        <w:instrText xml:space="preserve"> \* MERGEFORMAT </w:instrText>
      </w:r>
      <w:r w:rsidR="000E6B86" w:rsidRPr="000E6B86">
        <w:rPr>
          <w:vertAlign w:val="superscript"/>
          <w:lang w:val="en-US"/>
        </w:rPr>
      </w:r>
      <w:r w:rsidR="000E6B86" w:rsidRPr="000E6B86">
        <w:rPr>
          <w:vertAlign w:val="superscript"/>
          <w:lang w:val="en-US"/>
        </w:rPr>
        <w:fldChar w:fldCharType="separate"/>
      </w:r>
      <w:r w:rsidR="005E3C6C">
        <w:rPr>
          <w:vertAlign w:val="superscript"/>
          <w:lang w:val="en-US"/>
        </w:rPr>
        <w:t>13</w:t>
      </w:r>
      <w:r w:rsidR="000E6B86" w:rsidRPr="000E6B86">
        <w:rPr>
          <w:vertAlign w:val="superscript"/>
          <w:lang w:val="en-US"/>
        </w:rPr>
        <w:fldChar w:fldCharType="end"/>
      </w:r>
      <w:r w:rsidR="00566F47">
        <w:rPr>
          <w:lang w:val="en-US"/>
        </w:rPr>
        <w:t xml:space="preserve"> In Fig. </w:t>
      </w:r>
      <w:r w:rsidR="00AC0096">
        <w:rPr>
          <w:lang w:val="en-US"/>
        </w:rPr>
        <w:t>5</w:t>
      </w:r>
      <w:r w:rsidR="00566F47">
        <w:rPr>
          <w:lang w:val="en-US"/>
        </w:rPr>
        <w:t xml:space="preserve">, a graphical overview of the </w:t>
      </w:r>
      <w:r w:rsidR="006A1EAC">
        <w:rPr>
          <w:lang w:val="en-US"/>
        </w:rPr>
        <w:t xml:space="preserve">order of the </w:t>
      </w:r>
      <w:r w:rsidR="00566F47">
        <w:rPr>
          <w:lang w:val="en-US"/>
        </w:rPr>
        <w:t xml:space="preserve">diradical character of the </w:t>
      </w:r>
      <w:r w:rsidR="0033294D">
        <w:rPr>
          <w:lang w:val="en-US"/>
        </w:rPr>
        <w:t xml:space="preserve">aforementioned </w:t>
      </w:r>
      <w:r w:rsidR="00566F47">
        <w:rPr>
          <w:lang w:val="en-US"/>
        </w:rPr>
        <w:t>monomers is given</w:t>
      </w:r>
      <w:r w:rsidR="00C860C3">
        <w:rPr>
          <w:lang w:val="en-US"/>
        </w:rPr>
        <w:t>, along with</w:t>
      </w:r>
      <w:r w:rsidR="000E6B86">
        <w:rPr>
          <w:lang w:val="en-US"/>
        </w:rPr>
        <w:t xml:space="preserve"> the approximate order of the conductance evolution with length</w:t>
      </w:r>
      <w:r w:rsidR="00566F47">
        <w:rPr>
          <w:lang w:val="en-US"/>
        </w:rPr>
        <w:t>.</w:t>
      </w:r>
    </w:p>
    <w:p w14:paraId="0904F434" w14:textId="5B5D0283" w:rsidR="005A12AF" w:rsidRPr="00A55856" w:rsidRDefault="00AC0030" w:rsidP="00566F47">
      <w:pPr>
        <w:spacing w:line="480" w:lineRule="auto"/>
        <w:ind w:firstLine="708"/>
        <w:jc w:val="both"/>
        <w:rPr>
          <w:lang w:val="en-US"/>
        </w:rPr>
      </w:pPr>
      <w:r>
        <w:rPr>
          <w:lang w:val="en-US"/>
        </w:rPr>
        <w:lastRenderedPageBreak/>
        <w:t xml:space="preserve"> </w:t>
      </w:r>
    </w:p>
    <w:p w14:paraId="1E1930E8" w14:textId="44C72A14" w:rsidR="005A12AF" w:rsidRDefault="00AB013B" w:rsidP="00A55856">
      <w:pPr>
        <w:spacing w:line="480" w:lineRule="auto"/>
        <w:jc w:val="both"/>
        <w:rPr>
          <w:lang w:val="en-US"/>
        </w:rPr>
      </w:pPr>
      <w:r>
        <w:rPr>
          <w:noProof/>
        </w:rPr>
        <w:drawing>
          <wp:inline distT="0" distB="0" distL="0" distR="0" wp14:anchorId="4E623786" wp14:editId="63015282">
            <wp:extent cx="5753100" cy="3124200"/>
            <wp:effectExtent l="0" t="0" r="12700" b="0"/>
            <wp:docPr id="1" name="Afbeelding 1" descr="nL%20and%20conduct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L%20and%20conductanc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3124200"/>
                    </a:xfrm>
                    <a:prstGeom prst="rect">
                      <a:avLst/>
                    </a:prstGeom>
                    <a:noFill/>
                    <a:ln>
                      <a:noFill/>
                    </a:ln>
                  </pic:spPr>
                </pic:pic>
              </a:graphicData>
            </a:graphic>
          </wp:inline>
        </w:drawing>
      </w:r>
      <w:r w:rsidR="00FF5E28" w:rsidRPr="008F61B3">
        <w:rPr>
          <w:noProof/>
        </w:rPr>
        <mc:AlternateContent>
          <mc:Choice Requires="wps">
            <w:drawing>
              <wp:anchor distT="0" distB="0" distL="114300" distR="114300" simplePos="0" relativeHeight="251665408" behindDoc="0" locked="0" layoutInCell="1" allowOverlap="1" wp14:anchorId="21A2CD6D" wp14:editId="4D104798">
                <wp:simplePos x="0" y="0"/>
                <wp:positionH relativeFrom="margin">
                  <wp:posOffset>-50165</wp:posOffset>
                </wp:positionH>
                <wp:positionV relativeFrom="paragraph">
                  <wp:posOffset>3216275</wp:posOffset>
                </wp:positionV>
                <wp:extent cx="5829300" cy="1429385"/>
                <wp:effectExtent l="0" t="0" r="12700" b="12700"/>
                <wp:wrapThrough wrapText="bothSides">
                  <wp:wrapPolygon edited="0">
                    <wp:start x="0" y="0"/>
                    <wp:lineTo x="0" y="20571"/>
                    <wp:lineTo x="21553" y="20571"/>
                    <wp:lineTo x="21553" y="0"/>
                    <wp:lineTo x="0" y="0"/>
                  </wp:wrapPolygon>
                </wp:wrapThrough>
                <wp:docPr id="16" name="Tekstvak 16"/>
                <wp:cNvGraphicFramePr/>
                <a:graphic xmlns:a="http://schemas.openxmlformats.org/drawingml/2006/main">
                  <a:graphicData uri="http://schemas.microsoft.com/office/word/2010/wordprocessingShape">
                    <wps:wsp>
                      <wps:cNvSpPr txBox="1"/>
                      <wps:spPr>
                        <a:xfrm>
                          <a:off x="0" y="0"/>
                          <a:ext cx="5829300" cy="142938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18479A6A" w14:textId="79CF4225" w:rsidR="004327C7" w:rsidRPr="00A91200" w:rsidRDefault="004327C7" w:rsidP="00AC0096">
                            <w:pPr>
                              <w:pStyle w:val="Bijschrift"/>
                              <w:jc w:val="both"/>
                              <w:rPr>
                                <w:rFonts w:ascii="Times New Roman" w:hAnsi="Times New Roman" w:cs="Times New Roman"/>
                                <w:b w:val="0"/>
                                <w:iCs/>
                                <w:noProof/>
                                <w:color w:val="auto"/>
                                <w:sz w:val="24"/>
                                <w:szCs w:val="24"/>
                              </w:rPr>
                            </w:pPr>
                            <w:r w:rsidRPr="00A91200">
                              <w:rPr>
                                <w:iCs/>
                                <w:color w:val="auto"/>
                                <w:sz w:val="24"/>
                                <w:szCs w:val="24"/>
                              </w:rPr>
                              <w:t xml:space="preserve">Figure </w:t>
                            </w:r>
                            <w:r>
                              <w:rPr>
                                <w:iCs/>
                                <w:color w:val="auto"/>
                                <w:sz w:val="24"/>
                                <w:szCs w:val="24"/>
                              </w:rPr>
                              <w:t>5</w:t>
                            </w:r>
                            <w:r w:rsidRPr="00A91200">
                              <w:rPr>
                                <w:iCs/>
                                <w:color w:val="auto"/>
                                <w:sz w:val="24"/>
                                <w:szCs w:val="24"/>
                              </w:rPr>
                              <w:t xml:space="preserve">. </w:t>
                            </w:r>
                            <w:r>
                              <w:rPr>
                                <w:b w:val="0"/>
                                <w:bCs w:val="0"/>
                                <w:iCs/>
                                <w:color w:val="auto"/>
                                <w:sz w:val="24"/>
                                <w:szCs w:val="24"/>
                              </w:rPr>
                              <w:t>The monomers of the proposed wires so far ranked according to their diradical character (n</w:t>
                            </w:r>
                            <w:r w:rsidRPr="00DE7FD6">
                              <w:rPr>
                                <w:b w:val="0"/>
                                <w:bCs w:val="0"/>
                                <w:iCs/>
                                <w:color w:val="auto"/>
                                <w:sz w:val="24"/>
                                <w:szCs w:val="24"/>
                                <w:vertAlign w:val="subscript"/>
                              </w:rPr>
                              <w:t>L</w:t>
                            </w:r>
                            <w:r>
                              <w:rPr>
                                <w:b w:val="0"/>
                                <w:bCs w:val="0"/>
                                <w:iCs/>
                                <w:color w:val="auto"/>
                                <w:sz w:val="24"/>
                                <w:szCs w:val="24"/>
                              </w:rPr>
                              <w:t xml:space="preserve"> values in bold). The attenuation factors – which have been extracted from the literature and/or (re)calculated computationally – follow approximately the same trend: for the compounds with little diradical character (benzene, naphthalene), the conductance decreases with length, for the compounds with high diradical character, the conductance increases with length. The approximate location of the tipping point is denoted by a vertical dashed line.</w:t>
                            </w:r>
                            <w:r w:rsidR="00BC23E2">
                              <w:rPr>
                                <w:b w:val="0"/>
                                <w:bCs w:val="0"/>
                                <w:iCs/>
                                <w:color w:val="auto"/>
                                <w:sz w:val="24"/>
                                <w:szCs w:val="24"/>
                              </w:rPr>
                              <w:t xml:space="preserve"> Porphyrin is situated right around the tipping point.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1A2CD6D" id="Tekstvak 16" o:spid="_x0000_s1029" type="#_x0000_t202" style="position:absolute;left:0;text-align:left;margin-left:-3.95pt;margin-top:253.25pt;width:459pt;height:112.5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" stroked="f">
                <v:textbox style="mso-fit-shape-to-text:t" inset="0,0,0,0">
                  <w:txbxContent>
                    <w:p w14:paraId="18479A6A" w14:textId="79CF4225" w:rsidR="004327C7" w:rsidRPr="00A91200" w:rsidRDefault="004327C7" w:rsidP="00AC0096">
                      <w:pPr>
                        <w:pStyle w:val="Bijschrift"/>
                        <w:jc w:val="both"/>
                        <w:rPr>
                          <w:rFonts w:ascii="Times New Roman" w:hAnsi="Times New Roman" w:cs="Times New Roman"/>
                          <w:b w:val="0"/>
                          <w:iCs/>
                          <w:noProof/>
                          <w:color w:val="auto"/>
                          <w:sz w:val="24"/>
                          <w:szCs w:val="24"/>
                        </w:rPr>
                      </w:pPr>
                      <w:r w:rsidRPr="00A91200">
                        <w:rPr>
                          <w:iCs/>
                          <w:color w:val="auto"/>
                          <w:sz w:val="24"/>
                          <w:szCs w:val="24"/>
                        </w:rPr>
                        <w:t xml:space="preserve">Figure </w:t>
                      </w:r>
                      <w:r>
                        <w:rPr>
                          <w:iCs/>
                          <w:color w:val="auto"/>
                          <w:sz w:val="24"/>
                          <w:szCs w:val="24"/>
                        </w:rPr>
                        <w:t>5</w:t>
                      </w:r>
                      <w:r w:rsidRPr="00A91200">
                        <w:rPr>
                          <w:iCs/>
                          <w:color w:val="auto"/>
                          <w:sz w:val="24"/>
                          <w:szCs w:val="24"/>
                        </w:rPr>
                        <w:t xml:space="preserve">. </w:t>
                      </w:r>
                      <w:r>
                        <w:rPr>
                          <w:b w:val="0"/>
                          <w:bCs w:val="0"/>
                          <w:iCs/>
                          <w:color w:val="auto"/>
                          <w:sz w:val="24"/>
                          <w:szCs w:val="24"/>
                        </w:rPr>
                        <w:t xml:space="preserve">The monomers of the proposed wires so far ranked according to their </w:t>
                      </w:r>
                      <w:proofErr w:type="spellStart"/>
                      <w:r>
                        <w:rPr>
                          <w:b w:val="0"/>
                          <w:bCs w:val="0"/>
                          <w:iCs/>
                          <w:color w:val="auto"/>
                          <w:sz w:val="24"/>
                          <w:szCs w:val="24"/>
                        </w:rPr>
                        <w:t>diradical</w:t>
                      </w:r>
                      <w:proofErr w:type="spellEnd"/>
                      <w:r>
                        <w:rPr>
                          <w:b w:val="0"/>
                          <w:bCs w:val="0"/>
                          <w:iCs/>
                          <w:color w:val="auto"/>
                          <w:sz w:val="24"/>
                          <w:szCs w:val="24"/>
                        </w:rPr>
                        <w:t xml:space="preserve"> character (</w:t>
                      </w:r>
                      <w:proofErr w:type="spellStart"/>
                      <w:r>
                        <w:rPr>
                          <w:b w:val="0"/>
                          <w:bCs w:val="0"/>
                          <w:iCs/>
                          <w:color w:val="auto"/>
                          <w:sz w:val="24"/>
                          <w:szCs w:val="24"/>
                        </w:rPr>
                        <w:t>n</w:t>
                      </w:r>
                      <w:r w:rsidRPr="00DE7FD6">
                        <w:rPr>
                          <w:b w:val="0"/>
                          <w:bCs w:val="0"/>
                          <w:iCs/>
                          <w:color w:val="auto"/>
                          <w:sz w:val="24"/>
                          <w:szCs w:val="24"/>
                          <w:vertAlign w:val="subscript"/>
                        </w:rPr>
                        <w:t>L</w:t>
                      </w:r>
                      <w:proofErr w:type="spellEnd"/>
                      <w:r>
                        <w:rPr>
                          <w:b w:val="0"/>
                          <w:bCs w:val="0"/>
                          <w:iCs/>
                          <w:color w:val="auto"/>
                          <w:sz w:val="24"/>
                          <w:szCs w:val="24"/>
                        </w:rPr>
                        <w:t xml:space="preserve"> values in bold). The attenuation factors – which have been extracted from the literature and/or (re)calculated computationally – follow approximately the same trend: for the compounds with little diradical character (benzene, naphthalene), the conductance decreases with length, for the compounds with high diradical character, the conductance increases with length. The approximate location of the tipping point is denoted by a vertical dashed line.</w:t>
                      </w:r>
                      <w:r w:rsidR="00BC23E2">
                        <w:rPr>
                          <w:b w:val="0"/>
                          <w:bCs w:val="0"/>
                          <w:iCs/>
                          <w:color w:val="auto"/>
                          <w:sz w:val="24"/>
                          <w:szCs w:val="24"/>
                        </w:rPr>
                        <w:t xml:space="preserve"> Porphyrin is situated right around the tipping point.</w:t>
                      </w:r>
                    </w:p>
                  </w:txbxContent>
                </v:textbox>
                <w10:wrap type="through" anchorx="margin"/>
              </v:shape>
            </w:pict>
          </mc:Fallback>
        </mc:AlternateContent>
      </w:r>
    </w:p>
    <w:p w14:paraId="553F7E9F" w14:textId="77777777" w:rsidR="00130963" w:rsidRDefault="008B300C" w:rsidP="004455FB">
      <w:pPr>
        <w:spacing w:line="480" w:lineRule="auto"/>
        <w:jc w:val="both"/>
        <w:rPr>
          <w:lang w:val="en-US"/>
        </w:rPr>
      </w:pPr>
      <w:r>
        <w:rPr>
          <w:lang w:val="en-US"/>
        </w:rPr>
        <w:t xml:space="preserve"> </w:t>
      </w:r>
      <w:r w:rsidR="008A41EE">
        <w:rPr>
          <w:lang w:val="en-US"/>
        </w:rPr>
        <w:tab/>
      </w:r>
    </w:p>
    <w:p w14:paraId="5E20E25F" w14:textId="44A2F6C1" w:rsidR="00BC64F9" w:rsidRDefault="00491E17" w:rsidP="00650DA2">
      <w:pPr>
        <w:spacing w:line="480" w:lineRule="auto"/>
        <w:ind w:firstLine="708"/>
        <w:jc w:val="both"/>
        <w:rPr>
          <w:lang w:val="en-US"/>
        </w:rPr>
      </w:pPr>
      <w:r>
        <w:rPr>
          <w:lang w:val="en-US"/>
        </w:rPr>
        <w:t>It should be stressed here that the diradical character of the monomer is</w:t>
      </w:r>
      <w:r w:rsidR="000E6B86">
        <w:rPr>
          <w:lang w:val="en-US"/>
        </w:rPr>
        <w:t xml:space="preserve"> of course</w:t>
      </w:r>
      <w:r>
        <w:rPr>
          <w:lang w:val="en-US"/>
        </w:rPr>
        <w:t xml:space="preserve"> not the only determinant of the </w:t>
      </w:r>
      <m:oMath>
        <m:r>
          <w:rPr>
            <w:rFonts w:ascii="Cambria Math" w:hAnsi="Cambria Math"/>
            <w:lang w:val="en-US"/>
          </w:rPr>
          <m:t>β</m:t>
        </m:r>
      </m:oMath>
      <w:r w:rsidR="00DA49AB">
        <w:rPr>
          <w:lang w:val="en-US"/>
        </w:rPr>
        <w:t xml:space="preserve"> </w:t>
      </w:r>
      <w:r>
        <w:rPr>
          <w:lang w:val="en-US"/>
        </w:rPr>
        <w:t xml:space="preserve">factor of </w:t>
      </w:r>
      <w:r w:rsidR="000E6B86">
        <w:rPr>
          <w:lang w:val="en-US"/>
        </w:rPr>
        <w:t>a molecular</w:t>
      </w:r>
      <w:r>
        <w:rPr>
          <w:lang w:val="en-US"/>
        </w:rPr>
        <w:t xml:space="preserve"> wire.</w:t>
      </w:r>
      <w:r w:rsidR="0023753B">
        <w:rPr>
          <w:lang w:val="en-US"/>
        </w:rPr>
        <w:t xml:space="preserve"> A significant covalent interaction between the adjacent repeating units is needed so that the main resonance structure of the resultant wire </w:t>
      </w:r>
      <w:r w:rsidR="00E25AA6">
        <w:rPr>
          <w:lang w:val="en-US"/>
        </w:rPr>
        <w:t xml:space="preserve">has only two effectively unpaired electrons left at the two termini and the diradical character of the wire as </w:t>
      </w:r>
      <w:r w:rsidR="00414B91">
        <w:rPr>
          <w:lang w:val="en-US"/>
        </w:rPr>
        <w:t xml:space="preserve">a </w:t>
      </w:r>
      <w:r w:rsidR="00E25AA6">
        <w:rPr>
          <w:lang w:val="en-US"/>
        </w:rPr>
        <w:t>whole increases with length (</w:t>
      </w:r>
      <w:r w:rsidR="00597D6C">
        <w:rPr>
          <w:lang w:val="en-US"/>
        </w:rPr>
        <w:t>see section S</w:t>
      </w:r>
      <w:r w:rsidR="00CD0A6D">
        <w:rPr>
          <w:lang w:val="en-US"/>
        </w:rPr>
        <w:t>3</w:t>
      </w:r>
      <w:r w:rsidR="00597D6C">
        <w:rPr>
          <w:lang w:val="en-US"/>
        </w:rPr>
        <w:t xml:space="preserve"> of the</w:t>
      </w:r>
      <w:r w:rsidR="00E25AA6">
        <w:rPr>
          <w:lang w:val="en-US"/>
        </w:rPr>
        <w:t xml:space="preserve"> Supporting Information for an illustration of this effect).</w:t>
      </w:r>
      <w:r w:rsidR="0023753B">
        <w:rPr>
          <w:lang w:val="en-US"/>
        </w:rPr>
        <w:t xml:space="preserve"> </w:t>
      </w:r>
      <w:r>
        <w:rPr>
          <w:lang w:val="en-US"/>
        </w:rPr>
        <w:t xml:space="preserve"> </w:t>
      </w:r>
      <w:r w:rsidR="00DA49AB">
        <w:rPr>
          <w:lang w:val="en-US"/>
        </w:rPr>
        <w:t>A logical consequence is that</w:t>
      </w:r>
      <w:r w:rsidR="00E25AA6">
        <w:rPr>
          <w:lang w:val="en-US"/>
        </w:rPr>
        <w:t xml:space="preserve"> s</w:t>
      </w:r>
      <w:r w:rsidR="000C5FA6">
        <w:rPr>
          <w:lang w:val="en-US"/>
        </w:rPr>
        <w:t>teric hindrance</w:t>
      </w:r>
      <w:r w:rsidR="00DA49AB">
        <w:rPr>
          <w:lang w:val="en-US"/>
        </w:rPr>
        <w:t>,</w:t>
      </w:r>
      <w:r w:rsidR="000C5FA6">
        <w:rPr>
          <w:lang w:val="en-US"/>
        </w:rPr>
        <w:t xml:space="preserve"> </w:t>
      </w:r>
      <w:r w:rsidR="00DA49AB">
        <w:rPr>
          <w:lang w:val="en-US"/>
        </w:rPr>
        <w:t>which</w:t>
      </w:r>
      <w:r w:rsidR="000C5FA6">
        <w:rPr>
          <w:lang w:val="en-US"/>
        </w:rPr>
        <w:t xml:space="preserve"> prevents the inter-chromophore covalent coupling</w:t>
      </w:r>
      <w:r w:rsidR="00DA49AB">
        <w:rPr>
          <w:lang w:val="en-US"/>
        </w:rPr>
        <w:t>,</w:t>
      </w:r>
      <w:r w:rsidR="000C5FA6">
        <w:rPr>
          <w:lang w:val="en-US"/>
        </w:rPr>
        <w:t xml:space="preserve"> </w:t>
      </w:r>
      <w:r w:rsidR="0049177B">
        <w:rPr>
          <w:lang w:val="en-US"/>
        </w:rPr>
        <w:t>certainly disfavors the anti-Ohmic behavior</w:t>
      </w:r>
      <w:r>
        <w:rPr>
          <w:lang w:val="en-US"/>
        </w:rPr>
        <w:t>.</w:t>
      </w:r>
      <w:r w:rsidR="0061432A" w:rsidRPr="0061432A">
        <w:rPr>
          <w:vertAlign w:val="superscript"/>
          <w:lang w:val="en-US"/>
        </w:rPr>
        <w:fldChar w:fldCharType="begin"/>
      </w:r>
      <w:r w:rsidR="0061432A" w:rsidRPr="0061432A">
        <w:rPr>
          <w:vertAlign w:val="superscript"/>
          <w:lang w:val="en-US"/>
        </w:rPr>
        <w:instrText xml:space="preserve"> NOTEREF _Ref521937644 \h </w:instrText>
      </w:r>
      <w:r w:rsidR="0061432A">
        <w:rPr>
          <w:vertAlign w:val="superscript"/>
          <w:lang w:val="en-US"/>
        </w:rPr>
        <w:instrText xml:space="preserve"> \* MERGEFORMAT </w:instrText>
      </w:r>
      <w:r w:rsidR="0061432A" w:rsidRPr="0061432A">
        <w:rPr>
          <w:vertAlign w:val="superscript"/>
          <w:lang w:val="en-US"/>
        </w:rPr>
      </w:r>
      <w:r w:rsidR="0061432A" w:rsidRPr="0061432A">
        <w:rPr>
          <w:vertAlign w:val="superscript"/>
          <w:lang w:val="en-US"/>
        </w:rPr>
        <w:fldChar w:fldCharType="separate"/>
      </w:r>
      <w:r w:rsidR="005E3C6C">
        <w:rPr>
          <w:vertAlign w:val="superscript"/>
          <w:lang w:val="en-US"/>
        </w:rPr>
        <w:t>9</w:t>
      </w:r>
      <w:r w:rsidR="0061432A" w:rsidRPr="0061432A">
        <w:rPr>
          <w:vertAlign w:val="superscript"/>
          <w:lang w:val="en-US"/>
        </w:rPr>
        <w:fldChar w:fldCharType="end"/>
      </w:r>
      <w:r>
        <w:rPr>
          <w:lang w:val="en-US"/>
        </w:rPr>
        <w:t xml:space="preserve"> </w:t>
      </w:r>
      <w:r w:rsidR="00DA49AB">
        <w:rPr>
          <w:lang w:val="en-US"/>
        </w:rPr>
        <w:t>This is</w:t>
      </w:r>
      <w:r w:rsidR="00FF17C6">
        <w:rPr>
          <w:lang w:val="en-US"/>
        </w:rPr>
        <w:t xml:space="preserve"> also the main reason why </w:t>
      </w:r>
      <w:r w:rsidR="00B1124E">
        <w:rPr>
          <w:lang w:val="en-US"/>
        </w:rPr>
        <w:t>the fusion</w:t>
      </w:r>
      <w:r w:rsidR="00FF17C6">
        <w:rPr>
          <w:lang w:val="en-US"/>
        </w:rPr>
        <w:t xml:space="preserve"> of the</w:t>
      </w:r>
      <w:r w:rsidR="00B1124E">
        <w:rPr>
          <w:lang w:val="en-US"/>
        </w:rPr>
        <w:t xml:space="preserve"> individual repeating units </w:t>
      </w:r>
      <w:r w:rsidR="00A552B6">
        <w:rPr>
          <w:lang w:val="en-US"/>
        </w:rPr>
        <w:t>favors the</w:t>
      </w:r>
      <w:r w:rsidR="00B1124E">
        <w:rPr>
          <w:lang w:val="en-US"/>
        </w:rPr>
        <w:t xml:space="preserve"> anti-</w:t>
      </w:r>
      <w:r w:rsidR="00665BAD">
        <w:rPr>
          <w:lang w:val="en-US"/>
        </w:rPr>
        <w:t xml:space="preserve">Ohmic </w:t>
      </w:r>
      <w:r w:rsidR="00B1124E">
        <w:rPr>
          <w:lang w:val="en-US"/>
        </w:rPr>
        <w:t>behavior in the</w:t>
      </w:r>
      <w:r w:rsidR="00FF17C6">
        <w:rPr>
          <w:lang w:val="en-US"/>
        </w:rPr>
        <w:t xml:space="preserve"> porphyrin-, anthracene-, and tetracene-based wires</w:t>
      </w:r>
      <w:r w:rsidR="00414B91">
        <w:rPr>
          <w:lang w:val="en-US"/>
        </w:rPr>
        <w:t xml:space="preserve"> previously discussed</w:t>
      </w:r>
      <w:r w:rsidR="00FF17C6">
        <w:rPr>
          <w:lang w:val="en-US"/>
        </w:rPr>
        <w:t xml:space="preserve">. </w:t>
      </w:r>
      <w:r w:rsidR="00860B1F">
        <w:rPr>
          <w:lang w:val="en-US"/>
        </w:rPr>
        <w:t xml:space="preserve">As an </w:t>
      </w:r>
      <w:r w:rsidR="00B1124E">
        <w:rPr>
          <w:lang w:val="en-US"/>
        </w:rPr>
        <w:t>illustration</w:t>
      </w:r>
      <w:r w:rsidR="00860B1F">
        <w:rPr>
          <w:lang w:val="en-US"/>
        </w:rPr>
        <w:t>,</w:t>
      </w:r>
      <w:r w:rsidR="00FF17C6">
        <w:rPr>
          <w:lang w:val="en-US"/>
        </w:rPr>
        <w:t xml:space="preserve"> we </w:t>
      </w:r>
      <w:r w:rsidR="00860B1F">
        <w:rPr>
          <w:lang w:val="en-US"/>
        </w:rPr>
        <w:t>included</w:t>
      </w:r>
      <w:r w:rsidR="00FF17C6">
        <w:rPr>
          <w:lang w:val="en-US"/>
        </w:rPr>
        <w:t xml:space="preserve"> the </w:t>
      </w:r>
      <w:r w:rsidR="0038552D">
        <w:rPr>
          <w:lang w:val="en-US"/>
        </w:rPr>
        <w:t xml:space="preserve">transmission </w:t>
      </w:r>
      <w:r w:rsidR="0038552D">
        <w:rPr>
          <w:lang w:val="en-US"/>
        </w:rPr>
        <w:lastRenderedPageBreak/>
        <w:t xml:space="preserve">spectra for </w:t>
      </w:r>
      <w:r w:rsidR="006E047F">
        <w:rPr>
          <w:lang w:val="en-US"/>
        </w:rPr>
        <w:t>a</w:t>
      </w:r>
      <w:r w:rsidR="0038552D">
        <w:rPr>
          <w:lang w:val="en-US"/>
        </w:rPr>
        <w:t xml:space="preserve"> non-fused</w:t>
      </w:r>
      <w:r w:rsidR="00F23F81">
        <w:rPr>
          <w:lang w:val="en-US"/>
        </w:rPr>
        <w:t xml:space="preserve"> analogue</w:t>
      </w:r>
      <w:r w:rsidR="00860B1F">
        <w:rPr>
          <w:lang w:val="en-US"/>
        </w:rPr>
        <w:t xml:space="preserve"> of anthracene</w:t>
      </w:r>
      <w:r w:rsidR="00B1124E">
        <w:rPr>
          <w:lang w:val="en-US"/>
        </w:rPr>
        <w:t>,</w:t>
      </w:r>
      <w:r w:rsidR="00860B1F">
        <w:rPr>
          <w:lang w:val="en-US"/>
        </w:rPr>
        <w:t xml:space="preserve"> exhibiting </w:t>
      </w:r>
      <w:r w:rsidR="00B1124E">
        <w:rPr>
          <w:lang w:val="en-US"/>
        </w:rPr>
        <w:t xml:space="preserve">conventional </w:t>
      </w:r>
      <w:r w:rsidR="00665BAD">
        <w:rPr>
          <w:lang w:val="en-US"/>
        </w:rPr>
        <w:t xml:space="preserve">Ohmic </w:t>
      </w:r>
      <w:r w:rsidR="00860B1F">
        <w:rPr>
          <w:lang w:val="en-US"/>
        </w:rPr>
        <w:t>behavior</w:t>
      </w:r>
      <w:r w:rsidR="00BB72F7">
        <w:rPr>
          <w:lang w:val="en-US"/>
        </w:rPr>
        <w:t xml:space="preserve"> (</w:t>
      </w:r>
      <m:oMath>
        <m:r>
          <w:rPr>
            <w:rFonts w:ascii="Cambria Math" w:hAnsi="Cambria Math"/>
            <w:lang w:val="en-US"/>
          </w:rPr>
          <m:t>β</m:t>
        </m:r>
      </m:oMath>
      <w:r w:rsidR="00BB72F7">
        <w:rPr>
          <w:lang w:val="en-US"/>
        </w:rPr>
        <w:t xml:space="preserve"> = 1.8</w:t>
      </w:r>
      <w:r w:rsidR="002016FC">
        <w:rPr>
          <w:lang w:val="en-US"/>
        </w:rPr>
        <w:t>1 nm</w:t>
      </w:r>
      <w:r w:rsidR="002016FC">
        <w:rPr>
          <w:vertAlign w:val="superscript"/>
          <w:lang w:val="en-US"/>
        </w:rPr>
        <w:t>-1</w:t>
      </w:r>
      <w:r w:rsidR="002016FC">
        <w:rPr>
          <w:lang w:val="en-US"/>
        </w:rPr>
        <w:t>)</w:t>
      </w:r>
      <w:r w:rsidR="00B1124E">
        <w:rPr>
          <w:lang w:val="en-US"/>
        </w:rPr>
        <w:t>,</w:t>
      </w:r>
      <w:r w:rsidR="00860B1F">
        <w:rPr>
          <w:lang w:val="en-US"/>
        </w:rPr>
        <w:t xml:space="preserve"> in the Supporting Information</w:t>
      </w:r>
      <w:r w:rsidR="00597D6C">
        <w:rPr>
          <w:lang w:val="en-US"/>
        </w:rPr>
        <w:t xml:space="preserve"> (cf. Fig. S4)</w:t>
      </w:r>
      <w:r w:rsidR="00860B1F">
        <w:rPr>
          <w:lang w:val="en-US"/>
        </w:rPr>
        <w:t>.</w:t>
      </w:r>
      <w:r w:rsidR="00FF17C6">
        <w:rPr>
          <w:lang w:val="en-US"/>
        </w:rPr>
        <w:t xml:space="preserve"> </w:t>
      </w:r>
      <w:r w:rsidR="00D42EC6">
        <w:rPr>
          <w:lang w:val="en-US"/>
        </w:rPr>
        <w:t>Additionally, t</w:t>
      </w:r>
      <w:r>
        <w:rPr>
          <w:lang w:val="en-US"/>
        </w:rPr>
        <w:t xml:space="preserve">he choice of the linker units can also influence the magnitude of the </w:t>
      </w:r>
      <m:oMath>
        <m:r>
          <w:rPr>
            <w:rFonts w:ascii="Cambria Math" w:hAnsi="Cambria Math"/>
            <w:lang w:val="en-US"/>
          </w:rPr>
          <m:t>β</m:t>
        </m:r>
      </m:oMath>
      <w:r w:rsidR="00F2599A">
        <w:rPr>
          <w:lang w:val="en-US"/>
        </w:rPr>
        <w:t xml:space="preserve"> </w:t>
      </w:r>
      <w:r>
        <w:rPr>
          <w:lang w:val="en-US"/>
        </w:rPr>
        <w:t>factor: if short</w:t>
      </w:r>
      <w:r w:rsidR="008C1E65">
        <w:rPr>
          <w:lang w:val="en-US"/>
        </w:rPr>
        <w:t xml:space="preserve"> and/or well-conjugated</w:t>
      </w:r>
      <w:r>
        <w:rPr>
          <w:lang w:val="en-US"/>
        </w:rPr>
        <w:t xml:space="preserve"> linkers</w:t>
      </w:r>
      <w:r w:rsidR="00FC7503">
        <w:rPr>
          <w:lang w:val="en-US"/>
        </w:rPr>
        <w:t xml:space="preserve"> (e.g., ethynylthiol)</w:t>
      </w:r>
      <w:r>
        <w:rPr>
          <w:lang w:val="en-US"/>
        </w:rPr>
        <w:t xml:space="preserve"> are used, then the conductance will be quite </w:t>
      </w:r>
      <w:r w:rsidR="0061432A">
        <w:rPr>
          <w:lang w:val="en-US"/>
        </w:rPr>
        <w:t>elevated</w:t>
      </w:r>
      <w:r>
        <w:rPr>
          <w:lang w:val="en-US"/>
        </w:rPr>
        <w:t xml:space="preserve"> already for the monomer</w:t>
      </w:r>
      <w:r w:rsidR="00757BD5">
        <w:rPr>
          <w:lang w:val="en-US"/>
        </w:rPr>
        <w:t>,</w:t>
      </w:r>
      <w:r>
        <w:rPr>
          <w:lang w:val="en-US"/>
        </w:rPr>
        <w:t xml:space="preserve"> so that there is only a small </w:t>
      </w:r>
      <w:r w:rsidR="00F85BF6">
        <w:rPr>
          <w:lang w:val="en-US"/>
        </w:rPr>
        <w:t xml:space="preserve">room for </w:t>
      </w:r>
      <w:r>
        <w:rPr>
          <w:lang w:val="en-US"/>
        </w:rPr>
        <w:t xml:space="preserve">growth </w:t>
      </w:r>
      <w:r w:rsidR="00B72858">
        <w:rPr>
          <w:lang w:val="en-US"/>
        </w:rPr>
        <w:t>as the length of the wire increases</w:t>
      </w:r>
      <w:r>
        <w:rPr>
          <w:lang w:val="en-US"/>
        </w:rPr>
        <w:t xml:space="preserve">; longer </w:t>
      </w:r>
      <w:r w:rsidR="008C1E65">
        <w:rPr>
          <w:lang w:val="en-US"/>
        </w:rPr>
        <w:t xml:space="preserve">and/or less-conjugated </w:t>
      </w:r>
      <w:r>
        <w:rPr>
          <w:lang w:val="en-US"/>
        </w:rPr>
        <w:t xml:space="preserve">linkers </w:t>
      </w:r>
      <w:r w:rsidR="00D00A4A">
        <w:rPr>
          <w:lang w:val="en-US"/>
        </w:rPr>
        <w:t xml:space="preserve">(e.g., ethynylphenylthiol) </w:t>
      </w:r>
      <w:r>
        <w:rPr>
          <w:lang w:val="en-US"/>
        </w:rPr>
        <w:t>lead to a relatively lower conductance for the monomer so that there is</w:t>
      </w:r>
      <w:r w:rsidR="008C1E65">
        <w:rPr>
          <w:lang w:val="en-US"/>
        </w:rPr>
        <w:t xml:space="preserve"> a </w:t>
      </w:r>
      <w:r w:rsidR="00B5196B">
        <w:rPr>
          <w:lang w:val="en-US"/>
        </w:rPr>
        <w:t xml:space="preserve">larger room for </w:t>
      </w:r>
      <w:r w:rsidR="008C1E65">
        <w:rPr>
          <w:lang w:val="en-US"/>
        </w:rPr>
        <w:t xml:space="preserve">growth. A more in-depth discussion </w:t>
      </w:r>
      <w:r w:rsidR="0061432A">
        <w:rPr>
          <w:lang w:val="en-US"/>
        </w:rPr>
        <w:t xml:space="preserve">of these phenomena </w:t>
      </w:r>
      <w:r w:rsidR="008C1E65">
        <w:rPr>
          <w:lang w:val="en-US"/>
        </w:rPr>
        <w:t>combined with correlations between n</w:t>
      </w:r>
      <w:r w:rsidR="008C1E65">
        <w:rPr>
          <w:vertAlign w:val="subscript"/>
          <w:lang w:val="en-US"/>
        </w:rPr>
        <w:t xml:space="preserve">L </w:t>
      </w:r>
      <w:r w:rsidR="008C1E65">
        <w:rPr>
          <w:lang w:val="en-US"/>
        </w:rPr>
        <w:t xml:space="preserve">and the </w:t>
      </w:r>
      <m:oMath>
        <m:r>
          <w:rPr>
            <w:rFonts w:ascii="Cambria Math" w:hAnsi="Cambria Math"/>
            <w:lang w:val="en-US"/>
          </w:rPr>
          <m:t>β</m:t>
        </m:r>
      </m:oMath>
      <w:r w:rsidR="00F2599A">
        <w:rPr>
          <w:lang w:val="en-US"/>
        </w:rPr>
        <w:t xml:space="preserve"> </w:t>
      </w:r>
      <w:r w:rsidR="008C1E65">
        <w:rPr>
          <w:lang w:val="en-US"/>
        </w:rPr>
        <w:t>factors for the different wires can be found in the Supporting Information</w:t>
      </w:r>
      <w:r w:rsidR="00597D6C">
        <w:rPr>
          <w:lang w:val="en-US"/>
        </w:rPr>
        <w:t xml:space="preserve"> (cf. section S</w:t>
      </w:r>
      <w:r w:rsidR="00CD0A6D">
        <w:rPr>
          <w:lang w:val="en-US"/>
        </w:rPr>
        <w:t>4</w:t>
      </w:r>
      <w:r w:rsidR="00597D6C">
        <w:rPr>
          <w:lang w:val="en-US"/>
        </w:rPr>
        <w:t>)</w:t>
      </w:r>
      <w:r w:rsidR="008C1E65">
        <w:rPr>
          <w:lang w:val="en-US"/>
        </w:rPr>
        <w:t>.</w:t>
      </w:r>
      <w:r w:rsidR="0061432A">
        <w:rPr>
          <w:lang w:val="en-US"/>
        </w:rPr>
        <w:t xml:space="preserve"> Nevertheless, our analysis clearly demonstrates that </w:t>
      </w:r>
      <w:r w:rsidR="0061432A" w:rsidRPr="00757BD5">
        <w:rPr>
          <w:b/>
          <w:bCs/>
          <w:lang w:val="en-US"/>
        </w:rPr>
        <w:t xml:space="preserve">sufficient diradical character </w:t>
      </w:r>
      <w:r w:rsidR="00BA2954">
        <w:rPr>
          <w:b/>
          <w:bCs/>
          <w:lang w:val="en-US"/>
        </w:rPr>
        <w:t xml:space="preserve">of repeating unit </w:t>
      </w:r>
      <w:r w:rsidR="0061432A" w:rsidRPr="00757BD5">
        <w:rPr>
          <w:b/>
          <w:bCs/>
          <w:lang w:val="en-US"/>
        </w:rPr>
        <w:t xml:space="preserve">is a necessary condition </w:t>
      </w:r>
      <w:r w:rsidR="00CE4E6D">
        <w:rPr>
          <w:b/>
          <w:bCs/>
          <w:lang w:val="en-US"/>
        </w:rPr>
        <w:t>for</w:t>
      </w:r>
      <w:r w:rsidR="00B72858" w:rsidRPr="00757BD5">
        <w:rPr>
          <w:b/>
          <w:bCs/>
          <w:lang w:val="en-US"/>
        </w:rPr>
        <w:t xml:space="preserve"> an</w:t>
      </w:r>
      <w:r w:rsidR="0061432A" w:rsidRPr="00757BD5">
        <w:rPr>
          <w:b/>
          <w:bCs/>
          <w:lang w:val="en-US"/>
        </w:rPr>
        <w:t xml:space="preserve"> inc</w:t>
      </w:r>
      <w:r w:rsidR="00D42EC6" w:rsidRPr="00757BD5">
        <w:rPr>
          <w:b/>
          <w:bCs/>
          <w:lang w:val="en-US"/>
        </w:rPr>
        <w:t>reasing conductance with length</w:t>
      </w:r>
      <w:r w:rsidR="00D42EC6">
        <w:rPr>
          <w:lang w:val="en-US"/>
        </w:rPr>
        <w:t>.</w:t>
      </w:r>
      <w:r w:rsidR="00BA2954">
        <w:rPr>
          <w:lang w:val="en-US"/>
        </w:rPr>
        <w:t xml:space="preserve"> </w:t>
      </w:r>
    </w:p>
    <w:p w14:paraId="06715ED6" w14:textId="669A1778" w:rsidR="00C61843" w:rsidRDefault="00D42EC6" w:rsidP="00E765BC">
      <w:pPr>
        <w:spacing w:line="480" w:lineRule="auto"/>
        <w:ind w:firstLine="708"/>
        <w:jc w:val="both"/>
        <w:rPr>
          <w:lang w:val="en-US"/>
        </w:rPr>
      </w:pPr>
      <w:r>
        <w:rPr>
          <w:lang w:val="en-US"/>
        </w:rPr>
        <w:t xml:space="preserve">Furthermore, </w:t>
      </w:r>
      <w:r w:rsidR="00647E81">
        <w:rPr>
          <w:lang w:val="en-US"/>
        </w:rPr>
        <w:t>the results presented here indicate</w:t>
      </w:r>
      <w:r>
        <w:rPr>
          <w:lang w:val="en-US"/>
        </w:rPr>
        <w:t xml:space="preserve"> that </w:t>
      </w:r>
      <w:r w:rsidR="00C61843">
        <w:rPr>
          <w:lang w:val="en-US"/>
        </w:rPr>
        <w:t xml:space="preserve">there is a trade-off between the stability </w:t>
      </w:r>
      <w:r w:rsidR="0060352F">
        <w:rPr>
          <w:lang w:val="en-US"/>
        </w:rPr>
        <w:t>and</w:t>
      </w:r>
      <w:r w:rsidR="00C61843">
        <w:rPr>
          <w:lang w:val="en-US"/>
        </w:rPr>
        <w:t xml:space="preserve"> </w:t>
      </w:r>
      <w:r w:rsidR="00B75063">
        <w:rPr>
          <w:lang w:val="en-US"/>
        </w:rPr>
        <w:t xml:space="preserve">anti-Ohmic behaviour </w:t>
      </w:r>
      <w:r w:rsidR="00C61843">
        <w:rPr>
          <w:lang w:val="en-US"/>
        </w:rPr>
        <w:t>of the wires</w:t>
      </w:r>
      <w:r w:rsidR="00A8139A">
        <w:rPr>
          <w:lang w:val="en-US"/>
        </w:rPr>
        <w:t xml:space="preserve">. Wires </w:t>
      </w:r>
      <w:r w:rsidR="00C61843">
        <w:rPr>
          <w:lang w:val="en-US"/>
        </w:rPr>
        <w:t>based on compounds with low diradical character (benzene, naphthalene, Zn-co</w:t>
      </w:r>
      <w:r w:rsidR="00EA63CD">
        <w:rPr>
          <w:lang w:val="en-US"/>
        </w:rPr>
        <w:t>ordinated</w:t>
      </w:r>
      <w:r w:rsidR="00C61843">
        <w:rPr>
          <w:lang w:val="en-US"/>
        </w:rPr>
        <w:t xml:space="preserve"> porphyrin) are </w:t>
      </w:r>
      <w:r w:rsidR="005D0E14">
        <w:rPr>
          <w:lang w:val="en-US"/>
        </w:rPr>
        <w:t xml:space="preserve">generally </w:t>
      </w:r>
      <w:r w:rsidR="00C61843">
        <w:rPr>
          <w:lang w:val="en-US"/>
        </w:rPr>
        <w:t xml:space="preserve">known to be stable and have been synthesized, whereas the stability and synthesizability of </w:t>
      </w:r>
      <w:r w:rsidR="00665FEE">
        <w:rPr>
          <w:lang w:val="en-US"/>
        </w:rPr>
        <w:t xml:space="preserve">most of </w:t>
      </w:r>
      <w:r w:rsidR="00C61843">
        <w:rPr>
          <w:lang w:val="en-US"/>
        </w:rPr>
        <w:t xml:space="preserve">the proposed wires based on </w:t>
      </w:r>
      <w:r w:rsidR="000C5DD0">
        <w:rPr>
          <w:lang w:val="en-US"/>
        </w:rPr>
        <w:t xml:space="preserve">monomers </w:t>
      </w:r>
      <w:r w:rsidR="00C61843">
        <w:rPr>
          <w:lang w:val="en-US"/>
        </w:rPr>
        <w:t>with high diradical character (tetracene, the captodatively substituted benzene</w:t>
      </w:r>
      <w:r w:rsidR="00757BD5">
        <w:rPr>
          <w:lang w:val="en-US"/>
        </w:rPr>
        <w:t xml:space="preserve"> derivatives</w:t>
      </w:r>
      <w:r w:rsidR="00AC0096">
        <w:rPr>
          <w:lang w:val="en-US"/>
        </w:rPr>
        <w:t xml:space="preserve"> and</w:t>
      </w:r>
      <w:r w:rsidR="00C61843">
        <w:rPr>
          <w:lang w:val="en-US"/>
        </w:rPr>
        <w:t xml:space="preserve"> cumulene) </w:t>
      </w:r>
      <w:r w:rsidR="00D7352E">
        <w:rPr>
          <w:lang w:val="en-US"/>
        </w:rPr>
        <w:t>are yet to be confirmed</w:t>
      </w:r>
      <w:r w:rsidR="00C61843">
        <w:rPr>
          <w:lang w:val="en-US"/>
        </w:rPr>
        <w:t xml:space="preserve">. </w:t>
      </w:r>
      <w:r w:rsidR="00F50135">
        <w:rPr>
          <w:lang w:val="en-US"/>
        </w:rPr>
        <w:t>T</w:t>
      </w:r>
      <w:r w:rsidR="00C61843">
        <w:rPr>
          <w:lang w:val="en-US"/>
        </w:rPr>
        <w:t xml:space="preserve">he calculated drop off in the diradical character upon introducing Zn-ions inside the porphyrin moieties demonstrates </w:t>
      </w:r>
      <w:r w:rsidR="004455FB">
        <w:rPr>
          <w:lang w:val="en-US"/>
        </w:rPr>
        <w:t>that attempts to stabilize wires</w:t>
      </w:r>
      <w:r w:rsidR="00042490">
        <w:rPr>
          <w:lang w:val="en-US"/>
        </w:rPr>
        <w:t xml:space="preserve"> may </w:t>
      </w:r>
      <w:r w:rsidR="00562CA7">
        <w:rPr>
          <w:lang w:val="en-US"/>
        </w:rPr>
        <w:t xml:space="preserve">modify the fundamental electronic structure of </w:t>
      </w:r>
      <w:r w:rsidR="00560271">
        <w:rPr>
          <w:lang w:val="en-US"/>
        </w:rPr>
        <w:t xml:space="preserve">the </w:t>
      </w:r>
      <w:r w:rsidR="00562CA7">
        <w:rPr>
          <w:lang w:val="en-US"/>
        </w:rPr>
        <w:t xml:space="preserve">repeating unit and </w:t>
      </w:r>
      <w:r w:rsidR="00042490">
        <w:rPr>
          <w:lang w:val="en-US"/>
        </w:rPr>
        <w:t>eliminate the anti-Ohmic character</w:t>
      </w:r>
      <w:r w:rsidR="008B5AB4">
        <w:rPr>
          <w:lang w:val="en-US"/>
        </w:rPr>
        <w:t>, a natural result of stabilization through reduction of diradical character.</w:t>
      </w:r>
    </w:p>
    <w:p w14:paraId="75B5E843" w14:textId="4F76369E" w:rsidR="00CB7AD2" w:rsidRDefault="00CB7AD2" w:rsidP="00CB7AD2">
      <w:pPr>
        <w:spacing w:line="480" w:lineRule="auto"/>
        <w:jc w:val="both"/>
        <w:rPr>
          <w:lang w:val="en-US"/>
        </w:rPr>
      </w:pPr>
      <w:r>
        <w:rPr>
          <w:lang w:val="en-US"/>
        </w:rPr>
        <w:tab/>
        <w:t xml:space="preserve">This brings us to the final issue raised in the introduction of this letter: how can we </w:t>
      </w:r>
      <w:r w:rsidR="00DB52E0">
        <w:rPr>
          <w:lang w:val="en-US"/>
        </w:rPr>
        <w:t>balance</w:t>
      </w:r>
      <w:r>
        <w:rPr>
          <w:lang w:val="en-US"/>
        </w:rPr>
        <w:t xml:space="preserve"> stability and </w:t>
      </w:r>
      <w:r w:rsidR="00171864">
        <w:rPr>
          <w:lang w:val="en-US"/>
        </w:rPr>
        <w:t xml:space="preserve">the increased </w:t>
      </w:r>
      <w:r>
        <w:rPr>
          <w:lang w:val="en-US"/>
        </w:rPr>
        <w:t>conductance</w:t>
      </w:r>
      <w:r w:rsidR="00937F2E">
        <w:rPr>
          <w:lang w:val="en-US"/>
        </w:rPr>
        <w:t xml:space="preserve"> with length</w:t>
      </w:r>
      <w:r>
        <w:rPr>
          <w:lang w:val="en-US"/>
        </w:rPr>
        <w:t xml:space="preserve"> and design </w:t>
      </w:r>
      <w:r w:rsidR="00DB52E0">
        <w:rPr>
          <w:lang w:val="en-US"/>
        </w:rPr>
        <w:t xml:space="preserve">stable anti-Ohmic </w:t>
      </w:r>
      <w:r>
        <w:rPr>
          <w:lang w:val="en-US"/>
        </w:rPr>
        <w:t>wires that can be measured experimentally?</w:t>
      </w:r>
    </w:p>
    <w:p w14:paraId="276F2CB2" w14:textId="792197D8" w:rsidR="00820F88" w:rsidRDefault="00CB7AD2" w:rsidP="003151AF">
      <w:pPr>
        <w:spacing w:line="480" w:lineRule="auto"/>
        <w:jc w:val="both"/>
        <w:rPr>
          <w:lang w:val="en-US"/>
        </w:rPr>
      </w:pPr>
      <w:r>
        <w:rPr>
          <w:lang w:val="en-US"/>
        </w:rPr>
        <w:lastRenderedPageBreak/>
        <w:tab/>
        <w:t xml:space="preserve">We are convinced that, given the existence of many computationally inexpensive indices to quantify </w:t>
      </w:r>
      <w:r w:rsidR="002C4707">
        <w:rPr>
          <w:lang w:val="en-US"/>
        </w:rPr>
        <w:t>diradical character</w:t>
      </w:r>
      <w:r>
        <w:rPr>
          <w:lang w:val="en-US"/>
        </w:rPr>
        <w:t xml:space="preserve">, </w:t>
      </w:r>
      <w:r w:rsidR="00757BD5">
        <w:rPr>
          <w:lang w:val="en-US"/>
        </w:rPr>
        <w:t>a systematic</w:t>
      </w:r>
      <w:r w:rsidR="002C4707">
        <w:rPr>
          <w:lang w:val="en-US"/>
        </w:rPr>
        <w:t xml:space="preserve"> optimization of this property towards the approximate tipping-point previously discussed, would be the most effective strategy. In practice, one could start from a compound with considerable diradical character, but slightly below the tipping point</w:t>
      </w:r>
      <w:r w:rsidR="00820F88">
        <w:rPr>
          <w:lang w:val="en-US"/>
        </w:rPr>
        <w:t xml:space="preserve"> (e.g. naphthalene</w:t>
      </w:r>
      <w:r w:rsidR="00381458">
        <w:rPr>
          <w:lang w:val="en-US"/>
        </w:rPr>
        <w:t xml:space="preserve"> or, more generally, a</w:t>
      </w:r>
      <w:r w:rsidR="007B46C3">
        <w:rPr>
          <w:lang w:val="en-US"/>
        </w:rPr>
        <w:t xml:space="preserve"> compound obtained through a high-</w:t>
      </w:r>
      <w:r w:rsidR="00757BD5">
        <w:rPr>
          <w:lang w:val="en-US"/>
        </w:rPr>
        <w:t>throughput</w:t>
      </w:r>
      <w:r w:rsidR="007B46C3">
        <w:rPr>
          <w:lang w:val="en-US"/>
        </w:rPr>
        <w:t xml:space="preserve"> screening of compound databases</w:t>
      </w:r>
      <w:r w:rsidR="00820F88">
        <w:rPr>
          <w:lang w:val="en-US"/>
        </w:rPr>
        <w:t>)</w:t>
      </w:r>
      <w:r w:rsidR="002C4707">
        <w:rPr>
          <w:lang w:val="en-US"/>
        </w:rPr>
        <w:t>,</w:t>
      </w:r>
      <w:r w:rsidR="002054C2">
        <w:rPr>
          <w:rStyle w:val="Eindnootmarkering"/>
          <w:lang w:val="en-US"/>
        </w:rPr>
        <w:endnoteReference w:id="36"/>
      </w:r>
      <w:r w:rsidR="002C4707">
        <w:rPr>
          <w:lang w:val="en-US"/>
        </w:rPr>
        <w:t xml:space="preserve"> and systematically probe the effect of a wide range of structural modifications on the diradical character, so that a variety of analogues can be selected which attain or slightly exceed the critical diradical character.</w:t>
      </w:r>
      <w:r w:rsidR="00D133ED">
        <w:rPr>
          <w:lang w:val="en-US"/>
        </w:rPr>
        <w:t xml:space="preserve"> </w:t>
      </w:r>
      <w:r w:rsidR="00D133ED" w:rsidRPr="00443A8D">
        <w:rPr>
          <w:color w:val="000000" w:themeColor="text1"/>
          <w:lang w:val="en-US"/>
        </w:rPr>
        <w:t xml:space="preserve">Along the way, one could also probe the effect of different stabilization strategies (e.g. steric </w:t>
      </w:r>
      <w:r w:rsidR="00116383">
        <w:rPr>
          <w:color w:val="000000" w:themeColor="text1"/>
          <w:lang w:val="en-US"/>
        </w:rPr>
        <w:t>hindrance</w:t>
      </w:r>
      <w:r w:rsidR="00116383" w:rsidRPr="00443A8D">
        <w:rPr>
          <w:color w:val="000000" w:themeColor="text1"/>
          <w:lang w:val="en-US"/>
        </w:rPr>
        <w:t xml:space="preserve"> </w:t>
      </w:r>
      <w:r w:rsidR="00D133ED" w:rsidRPr="00443A8D">
        <w:rPr>
          <w:color w:val="000000" w:themeColor="text1"/>
          <w:lang w:val="en-US"/>
        </w:rPr>
        <w:t>etc.)</w:t>
      </w:r>
      <w:r w:rsidR="00443A8D" w:rsidRPr="00443A8D">
        <w:rPr>
          <w:rStyle w:val="Eindnootmarkering"/>
          <w:color w:val="000000" w:themeColor="text1"/>
          <w:lang w:val="en-US"/>
        </w:rPr>
        <w:endnoteReference w:id="37"/>
      </w:r>
      <w:r w:rsidR="00D133ED" w:rsidRPr="00443A8D">
        <w:rPr>
          <w:color w:val="000000" w:themeColor="text1"/>
          <w:lang w:val="en-US"/>
        </w:rPr>
        <w:t xml:space="preserve"> on the diradical character of a compound, in the hope of finding stabilization method</w:t>
      </w:r>
      <w:r w:rsidR="00A5494E">
        <w:rPr>
          <w:color w:val="000000" w:themeColor="text1"/>
          <w:lang w:val="en-US"/>
        </w:rPr>
        <w:t>s</w:t>
      </w:r>
      <w:r w:rsidR="00D133ED" w:rsidRPr="00443A8D">
        <w:rPr>
          <w:color w:val="000000" w:themeColor="text1"/>
          <w:lang w:val="en-US"/>
        </w:rPr>
        <w:t xml:space="preserve"> that </w:t>
      </w:r>
      <w:r w:rsidR="00A5494E">
        <w:rPr>
          <w:color w:val="000000" w:themeColor="text1"/>
          <w:lang w:val="en-US"/>
        </w:rPr>
        <w:t>do</w:t>
      </w:r>
      <w:r w:rsidR="00D133ED" w:rsidRPr="00443A8D">
        <w:rPr>
          <w:color w:val="000000" w:themeColor="text1"/>
          <w:lang w:val="en-US"/>
        </w:rPr>
        <w:t xml:space="preserve"> not affect the anti-</w:t>
      </w:r>
      <w:r w:rsidR="000A542E">
        <w:rPr>
          <w:color w:val="000000" w:themeColor="text1"/>
          <w:lang w:val="en-US"/>
        </w:rPr>
        <w:t>O</w:t>
      </w:r>
      <w:r w:rsidR="000A542E" w:rsidRPr="00443A8D">
        <w:rPr>
          <w:color w:val="000000" w:themeColor="text1"/>
          <w:lang w:val="en-US"/>
        </w:rPr>
        <w:t xml:space="preserve">hmic </w:t>
      </w:r>
      <w:r w:rsidR="00D133ED" w:rsidRPr="00443A8D">
        <w:rPr>
          <w:color w:val="000000" w:themeColor="text1"/>
          <w:lang w:val="en-US"/>
        </w:rPr>
        <w:t>behavior of the r</w:t>
      </w:r>
      <w:r w:rsidR="000D10DC" w:rsidRPr="00443A8D">
        <w:rPr>
          <w:color w:val="000000" w:themeColor="text1"/>
          <w:lang w:val="en-US"/>
        </w:rPr>
        <w:t>esulting wire</w:t>
      </w:r>
      <w:r w:rsidR="00D133ED" w:rsidRPr="00443A8D">
        <w:rPr>
          <w:color w:val="000000" w:themeColor="text1"/>
          <w:lang w:val="en-US"/>
        </w:rPr>
        <w:t xml:space="preserve"> </w:t>
      </w:r>
      <w:r w:rsidR="000D10DC" w:rsidRPr="00443A8D">
        <w:rPr>
          <w:color w:val="000000" w:themeColor="text1"/>
          <w:lang w:val="en-US"/>
        </w:rPr>
        <w:t>(</w:t>
      </w:r>
      <w:r w:rsidR="00D133ED" w:rsidRPr="00443A8D">
        <w:rPr>
          <w:color w:val="000000" w:themeColor="text1"/>
          <w:lang w:val="en-US"/>
        </w:rPr>
        <w:t xml:space="preserve">in contrast to the Zn-complexation </w:t>
      </w:r>
      <w:r w:rsidR="000D10DC" w:rsidRPr="00443A8D">
        <w:rPr>
          <w:color w:val="000000" w:themeColor="text1"/>
          <w:lang w:val="en-US"/>
        </w:rPr>
        <w:t xml:space="preserve">strategy </w:t>
      </w:r>
      <w:r w:rsidR="00D133ED" w:rsidRPr="00443A8D">
        <w:rPr>
          <w:color w:val="000000" w:themeColor="text1"/>
          <w:lang w:val="en-US"/>
        </w:rPr>
        <w:t xml:space="preserve">of </w:t>
      </w:r>
      <w:r w:rsidR="00E045E5" w:rsidRPr="00443A8D">
        <w:rPr>
          <w:color w:val="000000" w:themeColor="text1"/>
          <w:lang w:val="en-US"/>
        </w:rPr>
        <w:t>porphyrin</w:t>
      </w:r>
      <w:r w:rsidR="000D10DC" w:rsidRPr="00443A8D">
        <w:rPr>
          <w:color w:val="000000" w:themeColor="text1"/>
          <w:lang w:val="en-US"/>
        </w:rPr>
        <w:t xml:space="preserve"> used by </w:t>
      </w:r>
      <w:r w:rsidR="007C564C" w:rsidRPr="00443A8D">
        <w:rPr>
          <w:color w:val="000000" w:themeColor="text1"/>
          <w:lang w:val="en-US"/>
        </w:rPr>
        <w:t xml:space="preserve">Sedghi </w:t>
      </w:r>
      <w:r w:rsidR="007C564C" w:rsidRPr="00443A8D">
        <w:rPr>
          <w:i/>
          <w:iCs/>
          <w:color w:val="000000" w:themeColor="text1"/>
          <w:lang w:val="en-US"/>
        </w:rPr>
        <w:t>et al.</w:t>
      </w:r>
      <w:r w:rsidR="007C564C" w:rsidRPr="00443A8D">
        <w:rPr>
          <w:color w:val="000000" w:themeColor="text1"/>
          <w:lang w:val="en-US"/>
        </w:rPr>
        <w:t xml:space="preserve"> in Ref. </w:t>
      </w:r>
      <w:r w:rsidR="007C564C" w:rsidRPr="00443A8D">
        <w:rPr>
          <w:color w:val="000000" w:themeColor="text1"/>
          <w:lang w:val="en-US"/>
        </w:rPr>
        <w:fldChar w:fldCharType="begin"/>
      </w:r>
      <w:r w:rsidR="007C564C" w:rsidRPr="00443A8D">
        <w:rPr>
          <w:color w:val="000000" w:themeColor="text1"/>
          <w:lang w:val="en-US"/>
        </w:rPr>
        <w:instrText xml:space="preserve"> NOTEREF _Ref522314740 \h </w:instrText>
      </w:r>
      <w:r w:rsidR="007C564C" w:rsidRPr="00443A8D">
        <w:rPr>
          <w:color w:val="000000" w:themeColor="text1"/>
          <w:lang w:val="en-US"/>
        </w:rPr>
      </w:r>
      <w:r w:rsidR="007C564C" w:rsidRPr="00443A8D">
        <w:rPr>
          <w:color w:val="000000" w:themeColor="text1"/>
          <w:lang w:val="en-US"/>
        </w:rPr>
        <w:fldChar w:fldCharType="separate"/>
      </w:r>
      <w:r w:rsidR="005E3C6C">
        <w:rPr>
          <w:color w:val="000000" w:themeColor="text1"/>
          <w:lang w:val="en-US"/>
        </w:rPr>
        <w:t>13</w:t>
      </w:r>
      <w:r w:rsidR="007C564C" w:rsidRPr="00443A8D">
        <w:rPr>
          <w:color w:val="000000" w:themeColor="text1"/>
          <w:lang w:val="en-US"/>
        </w:rPr>
        <w:fldChar w:fldCharType="end"/>
      </w:r>
      <w:r w:rsidR="007C564C" w:rsidRPr="00443A8D">
        <w:rPr>
          <w:color w:val="000000" w:themeColor="text1"/>
          <w:lang w:val="en-US"/>
        </w:rPr>
        <w:t>)</w:t>
      </w:r>
      <w:r w:rsidR="00D133ED" w:rsidRPr="00443A8D">
        <w:rPr>
          <w:color w:val="000000" w:themeColor="text1"/>
          <w:lang w:val="en-US"/>
        </w:rPr>
        <w:t>.</w:t>
      </w:r>
      <w:r w:rsidR="00E045E5" w:rsidRPr="00443A8D">
        <w:rPr>
          <w:color w:val="000000" w:themeColor="text1"/>
          <w:lang w:val="en-US"/>
        </w:rPr>
        <w:t xml:space="preserve"> Here, a lot of inspiration could come from previous work on the stabilization of monoradicals.</w:t>
      </w:r>
      <w:r w:rsidR="007C564C" w:rsidRPr="00443A8D">
        <w:rPr>
          <w:rStyle w:val="Eindnootmarkering"/>
          <w:color w:val="000000" w:themeColor="text1"/>
          <w:lang w:val="en-US"/>
        </w:rPr>
        <w:endnoteReference w:id="38"/>
      </w:r>
      <w:r w:rsidR="007C564C" w:rsidRPr="00443A8D">
        <w:rPr>
          <w:color w:val="000000" w:themeColor="text1"/>
          <w:vertAlign w:val="superscript"/>
          <w:lang w:val="en-US"/>
        </w:rPr>
        <w:t>,</w:t>
      </w:r>
      <w:r w:rsidR="007C564C" w:rsidRPr="00443A8D">
        <w:rPr>
          <w:rStyle w:val="Eindnootmarkering"/>
          <w:color w:val="000000" w:themeColor="text1"/>
          <w:lang w:val="en-US"/>
        </w:rPr>
        <w:endnoteReference w:id="39"/>
      </w:r>
      <w:r w:rsidR="00205AB5" w:rsidRPr="00443A8D">
        <w:rPr>
          <w:color w:val="000000" w:themeColor="text1"/>
          <w:vertAlign w:val="superscript"/>
          <w:lang w:val="en-US"/>
        </w:rPr>
        <w:t>,</w:t>
      </w:r>
      <w:r w:rsidR="00205AB5" w:rsidRPr="00443A8D">
        <w:rPr>
          <w:rStyle w:val="Eindnootmarkering"/>
          <w:color w:val="000000" w:themeColor="text1"/>
          <w:lang w:val="en-US"/>
        </w:rPr>
        <w:endnoteReference w:id="40"/>
      </w:r>
      <w:r w:rsidR="000D10DC" w:rsidRPr="00443A8D">
        <w:rPr>
          <w:color w:val="000000" w:themeColor="text1"/>
          <w:lang w:val="en-US"/>
        </w:rPr>
        <w:t xml:space="preserve"> </w:t>
      </w:r>
      <w:r w:rsidR="0091020E">
        <w:rPr>
          <w:color w:val="000000" w:themeColor="text1"/>
          <w:lang w:val="en-US"/>
        </w:rPr>
        <w:t xml:space="preserve">Please note that </w:t>
      </w:r>
      <w:r w:rsidR="0091020E">
        <w:rPr>
          <w:lang w:val="en-US"/>
        </w:rPr>
        <w:t xml:space="preserve">the </w:t>
      </w:r>
      <w:r w:rsidR="00B31996">
        <w:rPr>
          <w:lang w:val="en-US"/>
        </w:rPr>
        <w:t>search</w:t>
      </w:r>
      <w:r w:rsidR="007C564C">
        <w:rPr>
          <w:lang w:val="en-US"/>
        </w:rPr>
        <w:t xml:space="preserve"> for candidate repeating units for anti-</w:t>
      </w:r>
      <w:r w:rsidR="00D84368">
        <w:rPr>
          <w:lang w:val="en-US"/>
        </w:rPr>
        <w:t xml:space="preserve">Ohmic </w:t>
      </w:r>
      <w:r w:rsidR="007C564C">
        <w:rPr>
          <w:lang w:val="en-US"/>
        </w:rPr>
        <w:t>wires</w:t>
      </w:r>
      <w:r w:rsidR="00B31996">
        <w:rPr>
          <w:lang w:val="en-US"/>
        </w:rPr>
        <w:t xml:space="preserve"> can be combined with the seeking for singlet fission chromophores, </w:t>
      </w:r>
      <w:r w:rsidR="001E5CB4">
        <w:rPr>
          <w:lang w:val="en-US"/>
        </w:rPr>
        <w:t>which are also characterized as diradicaloids.</w:t>
      </w:r>
      <w:r w:rsidR="00874464">
        <w:rPr>
          <w:rStyle w:val="Eindnootmarkering"/>
          <w:lang w:val="en-US"/>
        </w:rPr>
        <w:endnoteReference w:id="41"/>
      </w:r>
      <w:r w:rsidR="00797EE2" w:rsidRPr="00ED0DDC">
        <w:rPr>
          <w:vertAlign w:val="superscript"/>
          <w:lang w:val="en-US"/>
        </w:rPr>
        <w:t>,</w:t>
      </w:r>
      <w:r w:rsidR="00AC1D00">
        <w:rPr>
          <w:rStyle w:val="Eindnootmarkering"/>
          <w:lang w:val="en-US"/>
        </w:rPr>
        <w:endnoteReference w:id="42"/>
      </w:r>
      <w:r w:rsidR="00AC3B46">
        <w:rPr>
          <w:vertAlign w:val="superscript"/>
          <w:lang w:val="en-US"/>
        </w:rPr>
        <w:t>,</w:t>
      </w:r>
      <w:r w:rsidR="00217458" w:rsidRPr="00DE7FD6">
        <w:rPr>
          <w:rStyle w:val="Eindnootmarkering"/>
          <w:lang w:val="en-US"/>
        </w:rPr>
        <w:endnoteReference w:id="43"/>
      </w:r>
      <w:r w:rsidR="00DE7FD6" w:rsidRPr="00DE7FD6">
        <w:rPr>
          <w:vertAlign w:val="superscript"/>
          <w:lang w:val="en-US"/>
        </w:rPr>
        <w:t>,</w:t>
      </w:r>
      <w:r w:rsidR="006B48AC">
        <w:rPr>
          <w:rStyle w:val="Eindnootmarkering"/>
          <w:lang w:val="en-US"/>
        </w:rPr>
        <w:endnoteReference w:id="44"/>
      </w:r>
      <w:r w:rsidR="00DC3C5D">
        <w:rPr>
          <w:vertAlign w:val="superscript"/>
          <w:lang w:val="en-US"/>
        </w:rPr>
        <w:t>,</w:t>
      </w:r>
      <w:r w:rsidR="00A41A9D">
        <w:rPr>
          <w:rStyle w:val="Eindnootmarkering"/>
          <w:lang w:val="en-US"/>
        </w:rPr>
        <w:endnoteReference w:id="45"/>
      </w:r>
      <w:r w:rsidR="00BA3522">
        <w:rPr>
          <w:vertAlign w:val="superscript"/>
          <w:lang w:val="en-US"/>
        </w:rPr>
        <w:t>,</w:t>
      </w:r>
      <w:r w:rsidR="00C8698E">
        <w:rPr>
          <w:rStyle w:val="Eindnootmarkering"/>
          <w:lang w:val="en-US"/>
        </w:rPr>
        <w:endnoteReference w:id="46"/>
      </w:r>
      <w:r w:rsidR="00630E58">
        <w:rPr>
          <w:vertAlign w:val="superscript"/>
          <w:lang w:val="en-US"/>
        </w:rPr>
        <w:t>,</w:t>
      </w:r>
      <w:r w:rsidR="001B56CD" w:rsidRPr="00DE7FD6">
        <w:rPr>
          <w:rStyle w:val="Eindnootmarkering"/>
          <w:lang w:val="en-US"/>
        </w:rPr>
        <w:endnoteReference w:id="47"/>
      </w:r>
      <w:r w:rsidR="0024580C">
        <w:rPr>
          <w:vertAlign w:val="superscript"/>
          <w:lang w:val="en-US"/>
        </w:rPr>
        <w:t>,</w:t>
      </w:r>
      <w:r w:rsidR="00570CB7">
        <w:rPr>
          <w:rStyle w:val="Eindnootmarkering"/>
          <w:lang w:val="en-US"/>
        </w:rPr>
        <w:endnoteReference w:id="48"/>
      </w:r>
      <w:r w:rsidR="001E5CB4" w:rsidRPr="00DE7FD6">
        <w:rPr>
          <w:vertAlign w:val="superscript"/>
          <w:lang w:val="en-US"/>
        </w:rPr>
        <w:t xml:space="preserve"> </w:t>
      </w:r>
      <w:r w:rsidR="00DF4B7B" w:rsidRPr="00ED0DDC">
        <w:rPr>
          <w:lang w:val="en-US"/>
        </w:rPr>
        <w:t>T</w:t>
      </w:r>
      <w:r w:rsidR="00DF4B7B">
        <w:rPr>
          <w:lang w:val="en-US"/>
        </w:rPr>
        <w:t>he two vibrant research fields of molecular conductors and organic photovoltaics are hence cross-linked</w:t>
      </w:r>
      <w:r w:rsidR="008E6C46">
        <w:rPr>
          <w:lang w:val="en-US"/>
        </w:rPr>
        <w:t xml:space="preserve"> by the </w:t>
      </w:r>
      <w:r w:rsidR="00290914">
        <w:rPr>
          <w:lang w:val="en-US"/>
        </w:rPr>
        <w:t xml:space="preserve">common </w:t>
      </w:r>
      <w:r w:rsidR="008E6C46">
        <w:rPr>
          <w:lang w:val="en-US"/>
        </w:rPr>
        <w:t>theme of diradical character.</w:t>
      </w:r>
      <w:r w:rsidR="00DF4B7B">
        <w:rPr>
          <w:lang w:val="en-US"/>
        </w:rPr>
        <w:t xml:space="preserve"> </w:t>
      </w:r>
      <w:r w:rsidR="002C4707">
        <w:rPr>
          <w:lang w:val="en-US"/>
        </w:rPr>
        <w:t>Interaction with</w:t>
      </w:r>
      <w:r w:rsidR="00820F88">
        <w:rPr>
          <w:lang w:val="en-US"/>
        </w:rPr>
        <w:t xml:space="preserve"> experimentalists should then lead to </w:t>
      </w:r>
      <w:r w:rsidR="006D48DF">
        <w:rPr>
          <w:lang w:val="en-US"/>
        </w:rPr>
        <w:t xml:space="preserve">a </w:t>
      </w:r>
      <w:r w:rsidR="00820F88">
        <w:rPr>
          <w:lang w:val="en-US"/>
        </w:rPr>
        <w:t xml:space="preserve">selection of realistic and synthesizable compounds </w:t>
      </w:r>
      <w:r w:rsidR="003151AF">
        <w:rPr>
          <w:lang w:val="en-US"/>
        </w:rPr>
        <w:t xml:space="preserve">which could subsequently </w:t>
      </w:r>
      <w:r w:rsidR="00A5494E">
        <w:rPr>
          <w:lang w:val="en-US"/>
        </w:rPr>
        <w:t>be tested</w:t>
      </w:r>
      <w:r w:rsidR="000A734E">
        <w:rPr>
          <w:lang w:val="en-US"/>
        </w:rPr>
        <w:t xml:space="preserve"> </w:t>
      </w:r>
      <w:r w:rsidR="00820F88">
        <w:rPr>
          <w:lang w:val="en-US"/>
        </w:rPr>
        <w:t xml:space="preserve">in the lab. We believe that such a systematic strategy – instead of the current trial and error approach – </w:t>
      </w:r>
      <w:r w:rsidR="004C32D7">
        <w:rPr>
          <w:lang w:val="en-US"/>
        </w:rPr>
        <w:t>will facilitate</w:t>
      </w:r>
      <w:r w:rsidR="00E2366F">
        <w:rPr>
          <w:lang w:val="en-US"/>
        </w:rPr>
        <w:t xml:space="preserve"> </w:t>
      </w:r>
      <w:r w:rsidR="00820F88">
        <w:rPr>
          <w:lang w:val="en-US"/>
        </w:rPr>
        <w:t>the experimental verification</w:t>
      </w:r>
      <w:r w:rsidR="00B81BAE">
        <w:rPr>
          <w:lang w:val="en-US"/>
        </w:rPr>
        <w:t xml:space="preserve"> and exploitation</w:t>
      </w:r>
      <w:r w:rsidR="00820F88">
        <w:rPr>
          <w:lang w:val="en-US"/>
        </w:rPr>
        <w:t xml:space="preserve"> of this </w:t>
      </w:r>
      <w:r w:rsidR="00472CA4">
        <w:rPr>
          <w:lang w:val="en-US"/>
        </w:rPr>
        <w:t>anti-Ohmic</w:t>
      </w:r>
      <w:r w:rsidR="00820F88">
        <w:rPr>
          <w:lang w:val="en-US"/>
        </w:rPr>
        <w:t xml:space="preserve"> behavior </w:t>
      </w:r>
      <w:r w:rsidR="00C61843">
        <w:rPr>
          <w:lang w:val="en-US"/>
        </w:rPr>
        <w:t xml:space="preserve">of </w:t>
      </w:r>
      <w:r w:rsidR="00490054">
        <w:rPr>
          <w:lang w:val="en-US"/>
        </w:rPr>
        <w:t>nanowires</w:t>
      </w:r>
      <w:r w:rsidR="00820F88">
        <w:rPr>
          <w:lang w:val="en-US"/>
        </w:rPr>
        <w:t xml:space="preserve">. </w:t>
      </w:r>
    </w:p>
    <w:p w14:paraId="64F96E7B" w14:textId="77777777" w:rsidR="00322C4E" w:rsidRDefault="00322C4E" w:rsidP="002C4707">
      <w:pPr>
        <w:spacing w:line="480" w:lineRule="auto"/>
        <w:jc w:val="both"/>
        <w:rPr>
          <w:b/>
          <w:bCs/>
          <w:lang w:val="en-US"/>
        </w:rPr>
      </w:pPr>
    </w:p>
    <w:p w14:paraId="0853E6C2" w14:textId="77777777" w:rsidR="009153FB" w:rsidRDefault="009153FB" w:rsidP="002C4707">
      <w:pPr>
        <w:spacing w:line="480" w:lineRule="auto"/>
        <w:jc w:val="both"/>
        <w:rPr>
          <w:b/>
          <w:bCs/>
          <w:lang w:val="en-US"/>
        </w:rPr>
      </w:pPr>
    </w:p>
    <w:p w14:paraId="5519C29D" w14:textId="4B733427" w:rsidR="004455FB" w:rsidRDefault="004455FB" w:rsidP="002C4707">
      <w:pPr>
        <w:spacing w:line="480" w:lineRule="auto"/>
        <w:jc w:val="both"/>
        <w:rPr>
          <w:b/>
          <w:bCs/>
          <w:lang w:val="en-US"/>
        </w:rPr>
      </w:pPr>
      <w:r>
        <w:rPr>
          <w:b/>
          <w:bCs/>
          <w:lang w:val="en-US"/>
        </w:rPr>
        <w:lastRenderedPageBreak/>
        <w:t>Acknowledgements</w:t>
      </w:r>
    </w:p>
    <w:p w14:paraId="63F7FFFC" w14:textId="77777777" w:rsidR="004455FB" w:rsidRDefault="004455FB" w:rsidP="002C4707">
      <w:pPr>
        <w:spacing w:line="480" w:lineRule="auto"/>
        <w:jc w:val="both"/>
        <w:rPr>
          <w:b/>
          <w:bCs/>
          <w:lang w:val="en-US"/>
        </w:rPr>
      </w:pPr>
    </w:p>
    <w:p w14:paraId="76200BF6" w14:textId="2EB44626" w:rsidR="004455FB" w:rsidRPr="004455FB" w:rsidRDefault="004455FB" w:rsidP="004455FB">
      <w:pPr>
        <w:spacing w:line="480" w:lineRule="auto"/>
        <w:jc w:val="both"/>
        <w:rPr>
          <w:rFonts w:eastAsia="Times New Roman" w:cstheme="majorBidi"/>
          <w:color w:val="000000" w:themeColor="text1"/>
          <w:shd w:val="clear" w:color="auto" w:fill="FFFFFF"/>
          <w:lang w:val="en-US"/>
        </w:rPr>
      </w:pPr>
      <w:r w:rsidRPr="00402887">
        <w:rPr>
          <w:color w:val="000000" w:themeColor="text1"/>
          <w:lang w:val="en-US"/>
        </w:rPr>
        <w:t>T.S. acknowledges the Research Foundation-Flanders (FWO) for a position as research assistant (11ZG615N</w:t>
      </w:r>
      <w:r w:rsidRPr="00402887">
        <w:rPr>
          <w:rFonts w:cstheme="majorBidi"/>
          <w:color w:val="000000" w:themeColor="text1"/>
          <w:lang w:val="en-US"/>
        </w:rPr>
        <w:t xml:space="preserve">). </w:t>
      </w:r>
      <w:r>
        <w:rPr>
          <w:lang w:val="en-US"/>
        </w:rPr>
        <w:t xml:space="preserve">T.Z. thanks Carleton University of the start-up grant (186853) and the Natural Sciences and Engineering Research Council (NSERC) of Canada for funding (RGPIN-2016-06276). </w:t>
      </w:r>
      <w:r w:rsidRPr="001340C8">
        <w:rPr>
          <w:lang w:val="en-US"/>
        </w:rPr>
        <w:t>Y.T. thanks Research Institute for Information Technology (Kyushu University) for the computer facilities and financial support from JSPS KAKENHI Grant Number JP17K14440 and</w:t>
      </w:r>
      <w:r w:rsidR="0022671D">
        <w:rPr>
          <w:lang w:val="en-US"/>
        </w:rPr>
        <w:t xml:space="preserve"> JP18H04488</w:t>
      </w:r>
      <w:r w:rsidRPr="001340C8">
        <w:rPr>
          <w:lang w:val="en-US"/>
        </w:rPr>
        <w:t>.</w:t>
      </w:r>
      <w:r w:rsidRPr="00E467BA">
        <w:rPr>
          <w:rFonts w:asciiTheme="majorBidi" w:eastAsia="Times New Roman" w:hAnsiTheme="majorBidi" w:cstheme="majorBidi"/>
          <w:color w:val="212121"/>
          <w:shd w:val="clear" w:color="auto" w:fill="FFFFFF"/>
          <w:lang w:val="en-US"/>
        </w:rPr>
        <w:t xml:space="preserve"> </w:t>
      </w:r>
      <w:r w:rsidRPr="00402887">
        <w:rPr>
          <w:color w:val="000000" w:themeColor="text1"/>
          <w:lang w:val="en-US"/>
        </w:rPr>
        <w:t xml:space="preserve">P.G. and F.D.P. wish to acknowledge the </w:t>
      </w:r>
      <w:r w:rsidRPr="00402887">
        <w:rPr>
          <w:color w:val="000000" w:themeColor="text1"/>
          <w:lang w:val="en-GB"/>
        </w:rPr>
        <w:t>Vrije Universiteit Brussel (VUB)</w:t>
      </w:r>
      <w:r w:rsidRPr="00402887">
        <w:rPr>
          <w:color w:val="000000" w:themeColor="text1"/>
          <w:lang w:val="en-US"/>
        </w:rPr>
        <w:t xml:space="preserve"> for a Strategic Research Program. </w:t>
      </w:r>
      <w:r w:rsidRPr="00402887">
        <w:rPr>
          <w:rFonts w:eastAsia="Times New Roman" w:cstheme="majorBidi"/>
          <w:color w:val="000000" w:themeColor="text1"/>
          <w:shd w:val="clear" w:color="auto" w:fill="FFFFFF"/>
          <w:lang w:val="en-US"/>
        </w:rPr>
        <w:t>F.D.P. also acknowledges the Francqui foundation for a position as Francqui research professor.</w:t>
      </w:r>
      <w:r>
        <w:rPr>
          <w:rFonts w:eastAsia="Times New Roman" w:cstheme="majorBidi"/>
          <w:color w:val="000000" w:themeColor="text1"/>
          <w:shd w:val="clear" w:color="auto" w:fill="FFFFFF"/>
          <w:lang w:val="en-US"/>
        </w:rPr>
        <w:t xml:space="preserve"> </w:t>
      </w:r>
      <w:r w:rsidRPr="00402887">
        <w:rPr>
          <w:rFonts w:cs="Helvetica"/>
          <w:color w:val="000000" w:themeColor="text1"/>
          <w:lang w:val="en-US"/>
        </w:rPr>
        <w:t>Computational resources and services were provided by the Shared ICT Services Centre funded by the Vrije Universiteit Brussel, the Flemish Supercomputer Center (VSC) and FWO</w:t>
      </w:r>
      <w:r w:rsidR="00254D54">
        <w:rPr>
          <w:rFonts w:cs="Helvetica"/>
          <w:color w:val="000000" w:themeColor="text1"/>
          <w:lang w:val="en-US"/>
        </w:rPr>
        <w:t>, as well as Compute Canada</w:t>
      </w:r>
      <w:r w:rsidRPr="00402887">
        <w:rPr>
          <w:rFonts w:cs="Helvetica"/>
          <w:color w:val="000000" w:themeColor="text1"/>
          <w:lang w:val="en-US"/>
        </w:rPr>
        <w:t>.</w:t>
      </w:r>
    </w:p>
    <w:p w14:paraId="47251EEC" w14:textId="77777777" w:rsidR="004455FB" w:rsidRPr="004455FB" w:rsidRDefault="004455FB" w:rsidP="002C4707">
      <w:pPr>
        <w:spacing w:line="480" w:lineRule="auto"/>
        <w:jc w:val="both"/>
        <w:rPr>
          <w:lang w:val="en-US"/>
        </w:rPr>
      </w:pPr>
    </w:p>
    <w:p w14:paraId="1DA4909D" w14:textId="4D4CA5B6" w:rsidR="004455FB" w:rsidRDefault="004455FB" w:rsidP="002C4707">
      <w:pPr>
        <w:spacing w:line="480" w:lineRule="auto"/>
        <w:jc w:val="both"/>
        <w:rPr>
          <w:b/>
          <w:bCs/>
          <w:lang w:val="en-US"/>
        </w:rPr>
      </w:pPr>
      <w:r>
        <w:rPr>
          <w:b/>
          <w:bCs/>
          <w:lang w:val="en-US"/>
        </w:rPr>
        <w:t>Supporting Information</w:t>
      </w:r>
    </w:p>
    <w:p w14:paraId="006F7D2C" w14:textId="77777777" w:rsidR="00DE7FD6" w:rsidRPr="004455FB" w:rsidRDefault="00DE7FD6" w:rsidP="002C4707">
      <w:pPr>
        <w:spacing w:line="480" w:lineRule="auto"/>
        <w:jc w:val="both"/>
        <w:rPr>
          <w:b/>
          <w:bCs/>
          <w:lang w:val="en-US"/>
        </w:rPr>
      </w:pPr>
    </w:p>
    <w:p w14:paraId="584BD46E" w14:textId="2CD2C814" w:rsidR="004455FB" w:rsidRDefault="00381458" w:rsidP="004B4550">
      <w:pPr>
        <w:spacing w:line="480" w:lineRule="auto"/>
        <w:jc w:val="both"/>
        <w:rPr>
          <w:lang w:val="en-US"/>
        </w:rPr>
      </w:pPr>
      <w:r w:rsidRPr="00053724">
        <w:rPr>
          <w:lang w:val="en-US"/>
        </w:rPr>
        <w:t xml:space="preserve">See </w:t>
      </w:r>
      <w:r>
        <w:rPr>
          <w:lang w:val="en-US"/>
        </w:rPr>
        <w:t>S</w:t>
      </w:r>
      <w:r w:rsidRPr="00053724">
        <w:rPr>
          <w:lang w:val="en-US"/>
        </w:rPr>
        <w:t>upp</w:t>
      </w:r>
      <w:r>
        <w:rPr>
          <w:lang w:val="en-US"/>
        </w:rPr>
        <w:t>orting Information</w:t>
      </w:r>
      <w:r w:rsidRPr="00053724">
        <w:rPr>
          <w:lang w:val="en-US"/>
        </w:rPr>
        <w:t xml:space="preserve"> </w:t>
      </w:r>
      <w:r>
        <w:rPr>
          <w:lang w:val="en-US"/>
        </w:rPr>
        <w:t>for the transmission spectra for the cumulene-</w:t>
      </w:r>
      <w:r w:rsidR="004B4550">
        <w:rPr>
          <w:lang w:val="en-US"/>
        </w:rPr>
        <w:t>,</w:t>
      </w:r>
      <w:r>
        <w:rPr>
          <w:lang w:val="en-US"/>
        </w:rPr>
        <w:t xml:space="preserve"> fused porphyrin-</w:t>
      </w:r>
      <w:r w:rsidR="004B4550">
        <w:rPr>
          <w:lang w:val="en-US"/>
        </w:rPr>
        <w:t xml:space="preserve"> and non-fused anthracene-</w:t>
      </w:r>
      <w:r>
        <w:rPr>
          <w:lang w:val="en-US"/>
        </w:rPr>
        <w:t>based wire</w:t>
      </w:r>
      <w:r w:rsidR="004B4550">
        <w:rPr>
          <w:lang w:val="en-US"/>
        </w:rPr>
        <w:t xml:space="preserve">s, </w:t>
      </w:r>
      <w:r w:rsidR="00CD0A6D">
        <w:rPr>
          <w:lang w:val="en-US"/>
        </w:rPr>
        <w:t xml:space="preserve">the evolution of the interconnecting bond lengths between the subunits in the fused naphthalene-, anthracene- and tetracene-based wires, </w:t>
      </w:r>
      <w:r w:rsidR="004B4550">
        <w:rPr>
          <w:lang w:val="en-US"/>
        </w:rPr>
        <w:t>an illustration of the importance of a significant covalent interaction between the repeating units</w:t>
      </w:r>
      <w:r>
        <w:rPr>
          <w:lang w:val="en-US"/>
        </w:rPr>
        <w:t xml:space="preserve"> and the correlation between the diradical character and the evolution of the conductance.</w:t>
      </w:r>
    </w:p>
    <w:p w14:paraId="1CC32C80" w14:textId="77777777" w:rsidR="000A11FA" w:rsidRDefault="000A11FA" w:rsidP="002C4707">
      <w:pPr>
        <w:spacing w:line="480" w:lineRule="auto"/>
        <w:jc w:val="both"/>
        <w:rPr>
          <w:lang w:val="en-US"/>
        </w:rPr>
      </w:pPr>
    </w:p>
    <w:p w14:paraId="15C84FFC" w14:textId="77777777" w:rsidR="009153FB" w:rsidRDefault="009153FB" w:rsidP="002C4707">
      <w:pPr>
        <w:spacing w:line="480" w:lineRule="auto"/>
        <w:jc w:val="both"/>
        <w:rPr>
          <w:lang w:val="en-US"/>
        </w:rPr>
      </w:pPr>
    </w:p>
    <w:p w14:paraId="40B1302B" w14:textId="77777777" w:rsidR="009153FB" w:rsidRDefault="009153FB" w:rsidP="002C4707">
      <w:pPr>
        <w:spacing w:line="480" w:lineRule="auto"/>
        <w:jc w:val="both"/>
        <w:rPr>
          <w:lang w:val="en-US"/>
        </w:rPr>
      </w:pPr>
    </w:p>
    <w:p w14:paraId="6847C333" w14:textId="241858F7" w:rsidR="004455FB" w:rsidRDefault="004455FB" w:rsidP="002C4707">
      <w:pPr>
        <w:spacing w:line="480" w:lineRule="auto"/>
        <w:jc w:val="both"/>
        <w:rPr>
          <w:b/>
          <w:bCs/>
          <w:lang w:val="en-US"/>
        </w:rPr>
      </w:pPr>
      <w:r>
        <w:rPr>
          <w:b/>
          <w:bCs/>
          <w:lang w:val="en-US"/>
        </w:rPr>
        <w:lastRenderedPageBreak/>
        <w:t>Computational Methods</w:t>
      </w:r>
    </w:p>
    <w:p w14:paraId="430802FE" w14:textId="77777777" w:rsidR="003253A2" w:rsidRDefault="003253A2" w:rsidP="002C4707">
      <w:pPr>
        <w:spacing w:line="480" w:lineRule="auto"/>
        <w:jc w:val="both"/>
        <w:rPr>
          <w:b/>
          <w:bCs/>
          <w:lang w:val="en-US"/>
        </w:rPr>
      </w:pPr>
    </w:p>
    <w:p w14:paraId="4027AC7A" w14:textId="30AF4036" w:rsidR="00970562" w:rsidRDefault="004455FB" w:rsidP="00A97FC8">
      <w:pPr>
        <w:spacing w:line="480" w:lineRule="auto"/>
        <w:contextualSpacing/>
        <w:jc w:val="both"/>
        <w:rPr>
          <w:lang w:val="en-US"/>
        </w:rPr>
      </w:pPr>
      <w:r w:rsidRPr="00F22EE3">
        <w:rPr>
          <w:lang w:val="en-US"/>
        </w:rPr>
        <w:t xml:space="preserve">The </w:t>
      </w:r>
      <w:r>
        <w:rPr>
          <w:lang w:val="en-US"/>
        </w:rPr>
        <w:t xml:space="preserve">electron transport </w:t>
      </w:r>
      <w:r w:rsidRPr="00F22EE3">
        <w:rPr>
          <w:lang w:val="en-US"/>
        </w:rPr>
        <w:t>calculations were performed using the Non-Equilibrium Green’s Function (NEGF) method combined with DFT as implemented in the Artaios code,</w:t>
      </w:r>
      <w:r w:rsidRPr="0086028E">
        <w:rPr>
          <w:rStyle w:val="Eindnootmarkering"/>
        </w:rPr>
        <w:endnoteReference w:id="49"/>
      </w:r>
      <w:r w:rsidRPr="00F22EE3">
        <w:rPr>
          <w:vertAlign w:val="superscript"/>
          <w:lang w:val="en-US"/>
        </w:rPr>
        <w:t>,</w:t>
      </w:r>
      <w:bookmarkStart w:id="14" w:name="_Ref492679229"/>
      <w:r w:rsidRPr="0086028E">
        <w:rPr>
          <w:rStyle w:val="Eindnootmarkering"/>
        </w:rPr>
        <w:endnoteReference w:id="50"/>
      </w:r>
      <w:bookmarkEnd w:id="14"/>
      <w:r w:rsidRPr="00F22EE3">
        <w:rPr>
          <w:lang w:val="en-US"/>
        </w:rPr>
        <w:t xml:space="preserve"> a post</w:t>
      </w:r>
      <w:r w:rsidR="002658F3">
        <w:rPr>
          <w:lang w:val="en-US"/>
        </w:rPr>
        <w:t>-</w:t>
      </w:r>
      <w:r w:rsidRPr="00F22EE3">
        <w:rPr>
          <w:lang w:val="en-US"/>
        </w:rPr>
        <w:t xml:space="preserve">processing tool </w:t>
      </w:r>
      <w:r>
        <w:rPr>
          <w:lang w:val="en-US"/>
        </w:rPr>
        <w:t>for, among others, Gaussian 09</w:t>
      </w:r>
      <w:r w:rsidRPr="00F22EE3">
        <w:rPr>
          <w:lang w:val="en-US"/>
        </w:rPr>
        <w:t>.</w:t>
      </w:r>
      <w:r w:rsidRPr="0086028E">
        <w:rPr>
          <w:rStyle w:val="Eindnootmarkering"/>
        </w:rPr>
        <w:endnoteReference w:id="51"/>
      </w:r>
      <w:r w:rsidRPr="00F22EE3">
        <w:rPr>
          <w:lang w:val="en-US"/>
        </w:rPr>
        <w:t xml:space="preserve"> </w:t>
      </w:r>
      <w:r w:rsidRPr="00402887">
        <w:rPr>
          <w:rFonts w:cs="Times New Roman"/>
          <w:lang w:val="en-US"/>
        </w:rPr>
        <w:t xml:space="preserve">The electrode geometry used in the transmission calculations consists of nine gold atoms per electrode, which are arranged as a six-atom triangular fcc-gold (111)-surface, with a second layer consisting of three gold atoms. The distance between gold atoms in the clusters was set to 2.88 Å.  </w:t>
      </w:r>
      <w:r w:rsidR="004504FE">
        <w:rPr>
          <w:rFonts w:cs="Times New Roman"/>
          <w:lang w:val="en-US"/>
        </w:rPr>
        <w:t xml:space="preserve">Ethynylphenylthiol linkers were attached to the wires to facilitate the connection to the contacts. </w:t>
      </w:r>
      <w:r w:rsidRPr="00402887">
        <w:rPr>
          <w:rFonts w:cs="Times New Roman"/>
          <w:lang w:val="en-US"/>
        </w:rPr>
        <w:t xml:space="preserve">From the optimized molecular structures, the thiol’s hydrogen atoms were removed and </w:t>
      </w:r>
      <w:r w:rsidR="004504FE">
        <w:rPr>
          <w:rFonts w:cs="Times New Roman"/>
          <w:lang w:val="en-US"/>
        </w:rPr>
        <w:t xml:space="preserve">the </w:t>
      </w:r>
      <w:r w:rsidRPr="00402887">
        <w:rPr>
          <w:rFonts w:cs="Times New Roman"/>
          <w:lang w:val="en-US"/>
        </w:rPr>
        <w:t>Au</w:t>
      </w:r>
      <w:r w:rsidRPr="00402887">
        <w:rPr>
          <w:rFonts w:cs="Times New Roman"/>
          <w:vertAlign w:val="subscript"/>
          <w:lang w:val="en-US"/>
        </w:rPr>
        <w:t>9</w:t>
      </w:r>
      <w:r>
        <w:rPr>
          <w:rFonts w:cs="Times New Roman"/>
          <w:lang w:val="en-US"/>
        </w:rPr>
        <w:t xml:space="preserve"> clusters</w:t>
      </w:r>
      <w:r w:rsidRPr="00402887">
        <w:rPr>
          <w:rFonts w:cs="Times New Roman"/>
          <w:lang w:val="en-US"/>
        </w:rPr>
        <w:t xml:space="preserve"> were attached in accordance with the methodology presented in a recent study.</w:t>
      </w:r>
      <w:r w:rsidRPr="00402887">
        <w:rPr>
          <w:rStyle w:val="Eindnootmarkering"/>
          <w:rFonts w:cs="Times New Roman"/>
        </w:rPr>
        <w:endnoteReference w:id="52"/>
      </w:r>
      <w:r w:rsidRPr="00402887">
        <w:rPr>
          <w:rFonts w:cs="Times New Roman"/>
          <w:lang w:val="en-US"/>
        </w:rPr>
        <w:t xml:space="preserve"> The adsorption site is the middle fcc-hollow site of the first layer. The Au-S distance was set to 2.48 Å.</w:t>
      </w:r>
      <w:r w:rsidRPr="00402887">
        <w:rPr>
          <w:rStyle w:val="Eindnootmarkering"/>
          <w:rFonts w:cs="Times New Roman"/>
        </w:rPr>
        <w:endnoteReference w:id="53"/>
      </w:r>
      <w:r w:rsidRPr="00402887">
        <w:rPr>
          <w:rFonts w:cs="Times New Roman"/>
          <w:lang w:val="en-US"/>
        </w:rPr>
        <w:t xml:space="preserve"> For the resulting structures, single-point calculations were performed at the B3LYP/LanL2DZ level of theory, again using the Gaussian 09 software. </w:t>
      </w:r>
      <w:r w:rsidRPr="00F22EE3">
        <w:rPr>
          <w:lang w:val="en-US"/>
        </w:rPr>
        <w:t>In the final step, the Hamiltonian and overlap matrices were extracted to carry out the NEGF calculation within the wide-band-limit (WBL) approximation</w:t>
      </w:r>
      <w:bookmarkStart w:id="15" w:name="_Ref338434711"/>
      <w:r>
        <w:rPr>
          <w:lang w:val="en-US"/>
        </w:rPr>
        <w:t>.</w:t>
      </w:r>
      <w:r w:rsidRPr="009F25FE">
        <w:rPr>
          <w:rStyle w:val="Eindnootmarkering"/>
        </w:rPr>
        <w:endnoteReference w:id="54"/>
      </w:r>
      <w:bookmarkEnd w:id="15"/>
      <w:r w:rsidRPr="00F22EE3">
        <w:rPr>
          <w:lang w:val="en-US"/>
        </w:rPr>
        <w:t xml:space="preserve"> In the WBL approximation, we </w:t>
      </w:r>
      <w:r w:rsidR="00970562">
        <w:rPr>
          <w:lang w:val="en-US"/>
        </w:rPr>
        <w:t>set</w:t>
      </w:r>
      <w:r w:rsidRPr="00F22EE3">
        <w:rPr>
          <w:lang w:val="en-US"/>
        </w:rPr>
        <w:t xml:space="preserve"> the local density of states (LDOS) of the electrode surface</w:t>
      </w:r>
      <w:r w:rsidR="00970562">
        <w:rPr>
          <w:lang w:val="en-US"/>
        </w:rPr>
        <w:t xml:space="preserve"> to </w:t>
      </w:r>
      <w:r w:rsidR="00970562" w:rsidRPr="00F22EE3">
        <w:rPr>
          <w:lang w:val="en-US"/>
        </w:rPr>
        <w:t>a constant value of 0.036</w:t>
      </w:r>
      <w:r w:rsidR="00970562" w:rsidRPr="00F22EE3">
        <w:rPr>
          <w:lang w:val="en-US" w:eastAsia="ja-JP"/>
        </w:rPr>
        <w:t xml:space="preserve"> </w:t>
      </w:r>
      <w:r w:rsidR="00970562" w:rsidRPr="00F22EE3">
        <w:rPr>
          <w:lang w:val="en-US"/>
        </w:rPr>
        <w:t>eV</w:t>
      </w:r>
      <w:r w:rsidR="00970562" w:rsidRPr="00F22EE3">
        <w:rPr>
          <w:vertAlign w:val="superscript"/>
          <w:lang w:val="en-US"/>
        </w:rPr>
        <w:t>−1</w:t>
      </w:r>
      <w:r w:rsidRPr="00F22EE3">
        <w:rPr>
          <w:lang w:val="en-US"/>
        </w:rPr>
        <w:t xml:space="preserve">. </w:t>
      </w:r>
      <w:r w:rsidRPr="005C162F">
        <w:rPr>
          <w:lang w:val="en-US"/>
        </w:rPr>
        <w:t>This value was taken from the literature.</w:t>
      </w:r>
      <w:r w:rsidRPr="003E4DD8">
        <w:rPr>
          <w:vertAlign w:val="superscript"/>
        </w:rPr>
        <w:fldChar w:fldCharType="begin"/>
      </w:r>
      <w:r w:rsidRPr="005C162F">
        <w:rPr>
          <w:vertAlign w:val="superscript"/>
          <w:lang w:val="en-US"/>
        </w:rPr>
        <w:instrText xml:space="preserve"> NOTEREF _Ref338434711 \h </w:instrText>
      </w:r>
      <w:r w:rsidRPr="003E4DD8">
        <w:rPr>
          <w:vertAlign w:val="superscript"/>
        </w:rPr>
      </w:r>
      <w:r w:rsidRPr="003E4DD8">
        <w:rPr>
          <w:vertAlign w:val="superscript"/>
        </w:rPr>
        <w:fldChar w:fldCharType="separate"/>
      </w:r>
      <w:r w:rsidR="005E3C6C">
        <w:rPr>
          <w:vertAlign w:val="superscript"/>
          <w:lang w:val="en-US"/>
        </w:rPr>
        <w:t>54</w:t>
      </w:r>
      <w:r w:rsidRPr="003E4DD8">
        <w:rPr>
          <w:vertAlign w:val="superscript"/>
        </w:rPr>
        <w:fldChar w:fldCharType="end"/>
      </w:r>
      <w:r w:rsidRPr="005C162F">
        <w:rPr>
          <w:lang w:val="en-US"/>
        </w:rPr>
        <w:t xml:space="preserve"> </w:t>
      </w:r>
      <w:r>
        <w:rPr>
          <w:lang w:val="en-US"/>
        </w:rPr>
        <w:t>To estimate the diradical character, s</w:t>
      </w:r>
      <w:r w:rsidRPr="005C162F">
        <w:rPr>
          <w:lang w:val="en-US"/>
        </w:rPr>
        <w:t xml:space="preserve">tructures of </w:t>
      </w:r>
      <w:r w:rsidR="00970562">
        <w:rPr>
          <w:lang w:val="en-US"/>
        </w:rPr>
        <w:t xml:space="preserve">the different </w:t>
      </w:r>
      <w:r w:rsidRPr="005C162F">
        <w:rPr>
          <w:lang w:val="en-US"/>
        </w:rPr>
        <w:t>compounds were optimized at the</w:t>
      </w:r>
      <w:r>
        <w:rPr>
          <w:lang w:val="en-US"/>
        </w:rPr>
        <w:t xml:space="preserve"> B3LYP/cc-</w:t>
      </w:r>
      <w:r w:rsidR="00B917C2">
        <w:rPr>
          <w:lang w:val="en-US"/>
        </w:rPr>
        <w:t xml:space="preserve">pVDZ </w:t>
      </w:r>
      <w:r>
        <w:rPr>
          <w:lang w:val="en-US"/>
        </w:rPr>
        <w:t>level of theory.</w:t>
      </w:r>
      <w:r w:rsidRPr="005C162F">
        <w:rPr>
          <w:lang w:val="en-US"/>
        </w:rPr>
        <w:t xml:space="preserve"> Complete-active-space self-consistent-field</w:t>
      </w:r>
      <w:r>
        <w:rPr>
          <w:lang w:val="en-US"/>
        </w:rPr>
        <w:t xml:space="preserve"> (CASSCF)</w:t>
      </w:r>
      <w:r w:rsidRPr="005C162F">
        <w:rPr>
          <w:lang w:val="en-US"/>
        </w:rPr>
        <w:t xml:space="preserve"> calculations with the same basis set were carried out for those structures to obtain </w:t>
      </w:r>
      <w:r w:rsidRPr="005C162F">
        <w:rPr>
          <w:i/>
          <w:lang w:val="en-US"/>
        </w:rPr>
        <w:t>n</w:t>
      </w:r>
      <w:r w:rsidRPr="005C162F">
        <w:rPr>
          <w:i/>
          <w:vertAlign w:val="subscript"/>
          <w:lang w:val="en-US"/>
        </w:rPr>
        <w:t>L</w:t>
      </w:r>
      <w:r w:rsidRPr="005C162F">
        <w:rPr>
          <w:lang w:val="en-US"/>
        </w:rPr>
        <w:t xml:space="preserve"> of the ground state wave functions. The active spaces include all </w:t>
      </w:r>
      <m:oMath>
        <m:r>
          <w:rPr>
            <w:rFonts w:ascii="Cambria Math" w:hAnsi="Cambria Math"/>
            <w:color w:val="000000" w:themeColor="text1"/>
            <w:lang w:val="en-US"/>
          </w:rPr>
          <m:t>π</m:t>
        </m:r>
      </m:oMath>
      <w:r>
        <w:rPr>
          <w:color w:val="000000" w:themeColor="text1"/>
          <w:lang w:val="en-US"/>
        </w:rPr>
        <w:t xml:space="preserve"> orbitals</w:t>
      </w:r>
      <w:r w:rsidR="00A37C06">
        <w:rPr>
          <w:color w:val="000000" w:themeColor="text1"/>
          <w:lang w:val="en-US"/>
        </w:rPr>
        <w:t xml:space="preserve"> for cumulene, butatriene, naphthalene, and anthracene, 14 </w:t>
      </w:r>
      <m:oMath>
        <m:r>
          <w:rPr>
            <w:rFonts w:ascii="Cambria Math" w:hAnsi="Cambria Math"/>
            <w:color w:val="000000" w:themeColor="text1"/>
            <w:lang w:val="en-US"/>
          </w:rPr>
          <m:t>π</m:t>
        </m:r>
      </m:oMath>
      <w:r w:rsidR="00A37C06">
        <w:rPr>
          <w:color w:val="000000" w:themeColor="text1"/>
          <w:lang w:val="en-US"/>
        </w:rPr>
        <w:t xml:space="preserve"> orbitals and 14 electrons for tetracene (14</w:t>
      </w:r>
      <m:oMath>
        <m:r>
          <w:rPr>
            <w:rFonts w:ascii="Cambria Math" w:hAnsi="Cambria Math"/>
            <w:color w:val="000000" w:themeColor="text1"/>
            <w:lang w:val="en-US"/>
          </w:rPr>
          <m:t>π</m:t>
        </m:r>
      </m:oMath>
      <w:r w:rsidR="00A37C06">
        <w:rPr>
          <w:color w:val="000000" w:themeColor="text1"/>
          <w:lang w:val="en-US"/>
        </w:rPr>
        <w:t>14e, which gives the same result as 16</w:t>
      </w:r>
      <m:oMath>
        <m:r>
          <w:rPr>
            <w:rFonts w:ascii="Cambria Math" w:hAnsi="Cambria Math"/>
            <w:color w:val="000000" w:themeColor="text1"/>
            <w:lang w:val="en-US"/>
          </w:rPr>
          <m:t>π</m:t>
        </m:r>
      </m:oMath>
      <w:r w:rsidR="00A37C06">
        <w:rPr>
          <w:color w:val="000000" w:themeColor="text1"/>
          <w:lang w:val="en-US"/>
        </w:rPr>
        <w:t>16e), and 12</w:t>
      </w:r>
      <m:oMath>
        <m:r>
          <w:rPr>
            <w:rFonts w:ascii="Cambria Math" w:hAnsi="Cambria Math"/>
            <w:color w:val="000000" w:themeColor="text1"/>
            <w:lang w:val="en-US"/>
          </w:rPr>
          <m:t>π</m:t>
        </m:r>
      </m:oMath>
      <w:r w:rsidR="00A37C06">
        <w:rPr>
          <w:color w:val="000000" w:themeColor="text1"/>
          <w:lang w:val="en-US"/>
        </w:rPr>
        <w:t xml:space="preserve">12e for </w:t>
      </w:r>
      <w:r w:rsidR="00A37C06">
        <w:rPr>
          <w:color w:val="000000" w:themeColor="text1"/>
          <w:lang w:val="en-US"/>
        </w:rPr>
        <w:lastRenderedPageBreak/>
        <w:t>porphyrin and its Zn complex</w:t>
      </w:r>
      <w:r>
        <w:rPr>
          <w:color w:val="000000" w:themeColor="text1"/>
          <w:lang w:val="en-US"/>
        </w:rPr>
        <w:t>. The monomer calculations were carried out using GAMESS-US.</w:t>
      </w:r>
      <w:r>
        <w:rPr>
          <w:rStyle w:val="Eindnootmarkering"/>
          <w:color w:val="000000" w:themeColor="text1"/>
          <w:lang w:val="en-US"/>
        </w:rPr>
        <w:endnoteReference w:id="55"/>
      </w:r>
      <w:r>
        <w:rPr>
          <w:color w:val="000000" w:themeColor="text1"/>
          <w:vertAlign w:val="superscript"/>
          <w:lang w:val="en-US"/>
        </w:rPr>
        <w:t>,</w:t>
      </w:r>
      <w:r>
        <w:rPr>
          <w:rStyle w:val="Eindnootmarkering"/>
          <w:color w:val="000000" w:themeColor="text1"/>
          <w:lang w:val="en-US"/>
        </w:rPr>
        <w:endnoteReference w:id="56"/>
      </w:r>
    </w:p>
    <w:p w14:paraId="53F2FEC5" w14:textId="0FC4F002" w:rsidR="009064FC" w:rsidRDefault="009064FC" w:rsidP="004455FB">
      <w:pPr>
        <w:rPr>
          <w:lang w:val="en-US"/>
        </w:rPr>
      </w:pPr>
    </w:p>
    <w:p w14:paraId="568B5C6D" w14:textId="77777777" w:rsidR="00A97FC8" w:rsidRPr="006A4A17" w:rsidRDefault="00A97FC8" w:rsidP="004455FB">
      <w:pPr>
        <w:rPr>
          <w:lang w:val="en-US"/>
        </w:rPr>
      </w:pPr>
    </w:p>
    <w:sectPr w:rsidR="00A97FC8" w:rsidRPr="006A4A17" w:rsidSect="006E0911">
      <w:footerReference w:type="even" r:id="rId12"/>
      <w:footerReference w:type="default" r:id="rId13"/>
      <w:footnotePr>
        <w:numFmt w:val="chicago"/>
      </w:footnotePr>
      <w:endnotePr>
        <w:numFmt w:val="decimal"/>
      </w:endnotePr>
      <w:pgSz w:w="11900" w:h="16840"/>
      <w:pgMar w:top="1417" w:right="1417" w:bottom="1417" w:left="1417" w:header="708" w:footer="708" w:gutter="0"/>
      <w:cols w:space="708"/>
      <w:docGrid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7A4E69" w14:textId="77777777" w:rsidR="009B14D3" w:rsidRDefault="009B14D3" w:rsidP="006A4A17">
      <w:r>
        <w:separator/>
      </w:r>
    </w:p>
  </w:endnote>
  <w:endnote w:type="continuationSeparator" w:id="0">
    <w:p w14:paraId="06AE78EF" w14:textId="77777777" w:rsidR="009B14D3" w:rsidRDefault="009B14D3" w:rsidP="006A4A17">
      <w:r>
        <w:continuationSeparator/>
      </w:r>
    </w:p>
  </w:endnote>
  <w:endnote w:id="1">
    <w:p w14:paraId="03F68449" w14:textId="697A1F05" w:rsidR="004327C7" w:rsidRPr="002564CC" w:rsidRDefault="004327C7" w:rsidP="00880429">
      <w:pPr>
        <w:pStyle w:val="Eindnoottekst"/>
        <w:spacing w:line="480" w:lineRule="auto"/>
        <w:rPr>
          <w:lang w:val="en-US"/>
        </w:rPr>
      </w:pPr>
      <w:r>
        <w:rPr>
          <w:rStyle w:val="Eindnootmarkering"/>
        </w:rPr>
        <w:endnoteRef/>
      </w:r>
      <w:r w:rsidRPr="002564CC">
        <w:rPr>
          <w:lang w:val="en-US"/>
        </w:rPr>
        <w:t xml:space="preserve"> Datta, S. </w:t>
      </w:r>
      <w:r w:rsidRPr="002564CC">
        <w:rPr>
          <w:i/>
          <w:iCs/>
          <w:lang w:val="en-US"/>
        </w:rPr>
        <w:t xml:space="preserve">Electronic transport </w:t>
      </w:r>
      <w:r>
        <w:rPr>
          <w:i/>
          <w:iCs/>
          <w:lang w:val="en-US"/>
        </w:rPr>
        <w:t xml:space="preserve">in mesoscopic systems, </w:t>
      </w:r>
      <w:r>
        <w:rPr>
          <w:lang w:val="en-US"/>
        </w:rPr>
        <w:t>1995,</w:t>
      </w:r>
      <w:r w:rsidRPr="002564CC">
        <w:rPr>
          <w:i/>
          <w:iCs/>
          <w:lang w:val="en-US"/>
        </w:rPr>
        <w:t xml:space="preserve"> </w:t>
      </w:r>
      <w:r>
        <w:rPr>
          <w:lang w:val="en-US"/>
        </w:rPr>
        <w:t>Cambridge University Press, Cambridge.</w:t>
      </w:r>
    </w:p>
  </w:endnote>
  <w:endnote w:id="2">
    <w:p w14:paraId="4BCBBB66" w14:textId="2582E8C5" w:rsidR="004327C7" w:rsidRPr="00443A8D" w:rsidRDefault="004327C7" w:rsidP="00880429">
      <w:pPr>
        <w:pStyle w:val="Eindnoottekst"/>
        <w:spacing w:line="480" w:lineRule="auto"/>
        <w:rPr>
          <w:lang w:val="pt-BR"/>
        </w:rPr>
      </w:pPr>
      <w:r w:rsidRPr="00443A8D">
        <w:rPr>
          <w:rStyle w:val="Eindnootmarkering"/>
        </w:rPr>
        <w:endnoteRef/>
      </w:r>
      <w:r w:rsidRPr="00443A8D">
        <w:rPr>
          <w:lang w:val="en-US"/>
        </w:rPr>
        <w:t xml:space="preserve"> Tada, T.; Yoshizawa, K. </w:t>
      </w:r>
      <w:r w:rsidRPr="00443A8D">
        <w:rPr>
          <w:i/>
          <w:iCs/>
          <w:lang w:val="en-US"/>
        </w:rPr>
        <w:t xml:space="preserve">J. Phys. Chem. </w:t>
      </w:r>
      <w:r w:rsidRPr="00443A8D">
        <w:rPr>
          <w:i/>
          <w:iCs/>
          <w:lang w:val="pt-BR"/>
        </w:rPr>
        <w:t>B</w:t>
      </w:r>
      <w:r w:rsidRPr="00443A8D">
        <w:rPr>
          <w:lang w:val="pt-BR"/>
        </w:rPr>
        <w:t xml:space="preserve"> </w:t>
      </w:r>
      <w:r w:rsidRPr="00443A8D">
        <w:rPr>
          <w:b/>
          <w:bCs/>
          <w:lang w:val="pt-BR"/>
        </w:rPr>
        <w:t>2004</w:t>
      </w:r>
      <w:r w:rsidRPr="00443A8D">
        <w:rPr>
          <w:lang w:val="pt-BR"/>
        </w:rPr>
        <w:t xml:space="preserve">, </w:t>
      </w:r>
      <w:r w:rsidRPr="00443A8D">
        <w:rPr>
          <w:i/>
          <w:iCs/>
          <w:lang w:val="pt-BR"/>
        </w:rPr>
        <w:t>108</w:t>
      </w:r>
      <w:r w:rsidRPr="00443A8D">
        <w:rPr>
          <w:lang w:val="pt-BR"/>
        </w:rPr>
        <w:t xml:space="preserve"> (23), 7565-7572.</w:t>
      </w:r>
    </w:p>
  </w:endnote>
  <w:endnote w:id="3">
    <w:p w14:paraId="7FEF4127" w14:textId="3F1A384C" w:rsidR="004327C7" w:rsidRPr="00443A8D" w:rsidRDefault="004327C7" w:rsidP="00880429">
      <w:pPr>
        <w:pStyle w:val="Eindnoottekst"/>
        <w:spacing w:line="480" w:lineRule="auto"/>
        <w:rPr>
          <w:lang w:val="pt-BR"/>
        </w:rPr>
      </w:pPr>
      <w:r w:rsidRPr="00443A8D">
        <w:rPr>
          <w:rStyle w:val="Eindnootmarkering"/>
        </w:rPr>
        <w:endnoteRef/>
      </w:r>
      <w:r w:rsidRPr="00443A8D">
        <w:rPr>
          <w:lang w:val="pt-BR"/>
        </w:rPr>
        <w:t xml:space="preserve"> Ramos-Berdullas, N.; Mandado, M. </w:t>
      </w:r>
      <w:r w:rsidRPr="00443A8D">
        <w:rPr>
          <w:i/>
          <w:iCs/>
          <w:lang w:val="pt-BR"/>
        </w:rPr>
        <w:t>Chem. Eur. J.</w:t>
      </w:r>
      <w:r w:rsidRPr="00443A8D">
        <w:rPr>
          <w:lang w:val="pt-BR"/>
        </w:rPr>
        <w:t xml:space="preserve"> </w:t>
      </w:r>
      <w:r w:rsidRPr="00443A8D">
        <w:rPr>
          <w:b/>
          <w:bCs/>
          <w:lang w:val="pt-BR"/>
        </w:rPr>
        <w:t>2013</w:t>
      </w:r>
      <w:r w:rsidRPr="00443A8D">
        <w:rPr>
          <w:lang w:val="pt-BR"/>
        </w:rPr>
        <w:t xml:space="preserve">, </w:t>
      </w:r>
      <w:r w:rsidRPr="00443A8D">
        <w:rPr>
          <w:i/>
          <w:iCs/>
          <w:lang w:val="pt-BR"/>
        </w:rPr>
        <w:t>19</w:t>
      </w:r>
      <w:r w:rsidRPr="00443A8D">
        <w:rPr>
          <w:lang w:val="pt-BR"/>
        </w:rPr>
        <w:t xml:space="preserve"> (11), 3646-3654.</w:t>
      </w:r>
    </w:p>
  </w:endnote>
  <w:endnote w:id="4">
    <w:p w14:paraId="4B157419" w14:textId="2FD379AC" w:rsidR="004327C7" w:rsidRPr="00443A8D" w:rsidRDefault="004327C7" w:rsidP="00880429">
      <w:pPr>
        <w:pStyle w:val="Eindnoottekst"/>
        <w:spacing w:line="480" w:lineRule="auto"/>
        <w:rPr>
          <w:lang w:val="pt-BR"/>
        </w:rPr>
      </w:pPr>
      <w:r w:rsidRPr="00443A8D">
        <w:rPr>
          <w:rStyle w:val="Eindnootmarkering"/>
        </w:rPr>
        <w:endnoteRef/>
      </w:r>
      <w:r w:rsidRPr="00443A8D">
        <w:rPr>
          <w:lang w:val="pt-BR"/>
        </w:rPr>
        <w:t xml:space="preserve"> Li, S.; Gan, C. K.; Son, Y.-W.; Feng, Y. P.; Quek, S. Y. </w:t>
      </w:r>
      <w:r w:rsidRPr="00443A8D">
        <w:rPr>
          <w:i/>
          <w:iCs/>
          <w:lang w:val="pt-BR"/>
        </w:rPr>
        <w:t>Carbon</w:t>
      </w:r>
      <w:r w:rsidRPr="00443A8D">
        <w:rPr>
          <w:lang w:val="pt-BR"/>
        </w:rPr>
        <w:t xml:space="preserve"> </w:t>
      </w:r>
      <w:r w:rsidRPr="00443A8D">
        <w:rPr>
          <w:b/>
          <w:bCs/>
          <w:lang w:val="pt-BR"/>
        </w:rPr>
        <w:t>2014</w:t>
      </w:r>
      <w:r w:rsidRPr="00443A8D">
        <w:rPr>
          <w:lang w:val="pt-BR"/>
        </w:rPr>
        <w:t xml:space="preserve">, </w:t>
      </w:r>
      <w:r w:rsidRPr="00443A8D">
        <w:rPr>
          <w:i/>
          <w:iCs/>
          <w:lang w:val="pt-BR"/>
        </w:rPr>
        <w:t>76</w:t>
      </w:r>
      <w:r w:rsidRPr="00443A8D">
        <w:rPr>
          <w:lang w:val="pt-BR"/>
        </w:rPr>
        <w:t>, 285-291.</w:t>
      </w:r>
    </w:p>
  </w:endnote>
  <w:endnote w:id="5">
    <w:p w14:paraId="5B2CAB6B" w14:textId="630C3054" w:rsidR="004327C7" w:rsidRPr="00443A8D" w:rsidRDefault="004327C7" w:rsidP="00880429">
      <w:pPr>
        <w:pStyle w:val="Eindnoottekst"/>
        <w:spacing w:line="480" w:lineRule="auto"/>
        <w:rPr>
          <w:lang w:val="pt-BR"/>
        </w:rPr>
      </w:pPr>
      <w:r w:rsidRPr="00443A8D">
        <w:rPr>
          <w:rStyle w:val="Eindnootmarkering"/>
        </w:rPr>
        <w:endnoteRef/>
      </w:r>
      <w:r w:rsidRPr="00443A8D">
        <w:rPr>
          <w:lang w:val="pt-BR"/>
        </w:rPr>
        <w:t xml:space="preserve"> Ramos-Berdullas, N; Ferro-Costas, D.; Mandado, M. </w:t>
      </w:r>
      <w:r w:rsidRPr="00443A8D">
        <w:rPr>
          <w:i/>
          <w:iCs/>
          <w:lang w:val="pt-BR"/>
        </w:rPr>
        <w:t>Comput. Theor. Chem.</w:t>
      </w:r>
      <w:r w:rsidRPr="00443A8D">
        <w:rPr>
          <w:lang w:val="pt-BR"/>
        </w:rPr>
        <w:t xml:space="preserve"> </w:t>
      </w:r>
      <w:r w:rsidRPr="00443A8D">
        <w:rPr>
          <w:b/>
          <w:bCs/>
          <w:lang w:val="pt-BR"/>
        </w:rPr>
        <w:t>2015</w:t>
      </w:r>
      <w:r w:rsidRPr="00443A8D">
        <w:rPr>
          <w:lang w:val="pt-BR"/>
        </w:rPr>
        <w:t xml:space="preserve">, </w:t>
      </w:r>
      <w:r w:rsidRPr="00443A8D">
        <w:rPr>
          <w:i/>
          <w:iCs/>
          <w:lang w:val="pt-BR"/>
        </w:rPr>
        <w:t>1053</w:t>
      </w:r>
      <w:r w:rsidRPr="00443A8D">
        <w:rPr>
          <w:lang w:val="pt-BR"/>
        </w:rPr>
        <w:t>, 263-269.</w:t>
      </w:r>
    </w:p>
  </w:endnote>
  <w:endnote w:id="6">
    <w:p w14:paraId="2020BCD2" w14:textId="5DF1E2BE" w:rsidR="004327C7" w:rsidRPr="00443A8D" w:rsidRDefault="004327C7" w:rsidP="00880429">
      <w:pPr>
        <w:pStyle w:val="Eindnoottekst"/>
        <w:spacing w:line="480" w:lineRule="auto"/>
        <w:rPr>
          <w:lang w:val="pt-BR"/>
        </w:rPr>
      </w:pPr>
      <w:r w:rsidRPr="00443A8D">
        <w:rPr>
          <w:rStyle w:val="Eindnootmarkering"/>
        </w:rPr>
        <w:endnoteRef/>
      </w:r>
      <w:r w:rsidRPr="00443A8D">
        <w:rPr>
          <w:lang w:val="pt-BR"/>
        </w:rPr>
        <w:t xml:space="preserve"> Tsuji, Y.; Movassagh, R.; Datta, S.; Hoffmann, R. </w:t>
      </w:r>
      <w:r w:rsidRPr="00443A8D">
        <w:rPr>
          <w:i/>
          <w:iCs/>
          <w:lang w:val="pt-BR"/>
        </w:rPr>
        <w:t>ACS Nano</w:t>
      </w:r>
      <w:r w:rsidRPr="00443A8D">
        <w:rPr>
          <w:lang w:val="pt-BR"/>
        </w:rPr>
        <w:t xml:space="preserve"> </w:t>
      </w:r>
      <w:r w:rsidRPr="00443A8D">
        <w:rPr>
          <w:b/>
          <w:bCs/>
          <w:lang w:val="pt-BR"/>
        </w:rPr>
        <w:t>2015</w:t>
      </w:r>
      <w:r w:rsidRPr="00443A8D">
        <w:rPr>
          <w:lang w:val="pt-BR"/>
        </w:rPr>
        <w:t xml:space="preserve">, </w:t>
      </w:r>
      <w:r w:rsidRPr="00443A8D">
        <w:rPr>
          <w:i/>
          <w:iCs/>
          <w:lang w:val="pt-BR"/>
        </w:rPr>
        <w:t>9</w:t>
      </w:r>
      <w:r w:rsidRPr="00443A8D">
        <w:rPr>
          <w:lang w:val="pt-BR"/>
        </w:rPr>
        <w:t xml:space="preserve"> (11), 11109-11120.</w:t>
      </w:r>
    </w:p>
  </w:endnote>
  <w:endnote w:id="7">
    <w:p w14:paraId="21B98313" w14:textId="63F69446" w:rsidR="004327C7" w:rsidRPr="00443A8D" w:rsidRDefault="004327C7" w:rsidP="00880429">
      <w:pPr>
        <w:pStyle w:val="Eindnoottekst"/>
        <w:spacing w:line="480" w:lineRule="auto"/>
      </w:pPr>
      <w:r w:rsidRPr="00443A8D">
        <w:rPr>
          <w:rStyle w:val="Eindnootmarkering"/>
        </w:rPr>
        <w:endnoteRef/>
      </w:r>
      <w:r w:rsidRPr="00443A8D">
        <w:t xml:space="preserve"> Stuyver, T.; Fias, S.; De Proft, F.; Geerlings, P. </w:t>
      </w:r>
      <w:r w:rsidRPr="00443A8D">
        <w:rPr>
          <w:i/>
          <w:iCs/>
        </w:rPr>
        <w:t xml:space="preserve">Chem. Phys. Lett. </w:t>
      </w:r>
      <w:r w:rsidRPr="00443A8D">
        <w:rPr>
          <w:b/>
          <w:bCs/>
        </w:rPr>
        <w:t>2015</w:t>
      </w:r>
      <w:r w:rsidRPr="00443A8D">
        <w:t xml:space="preserve">, </w:t>
      </w:r>
      <w:r w:rsidRPr="00443A8D">
        <w:rPr>
          <w:i/>
          <w:iCs/>
        </w:rPr>
        <w:t>630</w:t>
      </w:r>
      <w:r w:rsidRPr="00443A8D">
        <w:t>, 51-56.</w:t>
      </w:r>
    </w:p>
  </w:endnote>
  <w:endnote w:id="8">
    <w:p w14:paraId="5007CFE9" w14:textId="20F9A67B" w:rsidR="004327C7" w:rsidRPr="00443A8D" w:rsidRDefault="004327C7" w:rsidP="00880429">
      <w:pPr>
        <w:pStyle w:val="Eindnoottekst"/>
        <w:spacing w:line="480" w:lineRule="auto"/>
      </w:pPr>
      <w:r w:rsidRPr="00443A8D">
        <w:rPr>
          <w:rStyle w:val="Eindnootmarkering"/>
        </w:rPr>
        <w:endnoteRef/>
      </w:r>
      <w:r w:rsidRPr="00443A8D">
        <w:t xml:space="preserve"> Stuyver, T.; Fias, S.; De Proft, F.; Geerlings, P.; Tsuji, Y.; Hoffmann, R. </w:t>
      </w:r>
      <w:r w:rsidRPr="00443A8D">
        <w:rPr>
          <w:i/>
          <w:iCs/>
        </w:rPr>
        <w:t xml:space="preserve">J. Chem. Phys. </w:t>
      </w:r>
      <w:r w:rsidRPr="00443A8D">
        <w:rPr>
          <w:b/>
          <w:bCs/>
        </w:rPr>
        <w:t>2017</w:t>
      </w:r>
      <w:r w:rsidRPr="00443A8D">
        <w:t xml:space="preserve">, </w:t>
      </w:r>
      <w:r w:rsidRPr="00443A8D">
        <w:rPr>
          <w:i/>
          <w:iCs/>
        </w:rPr>
        <w:t>146</w:t>
      </w:r>
      <w:r w:rsidRPr="00443A8D">
        <w:t xml:space="preserve"> (9), 092310.</w:t>
      </w:r>
    </w:p>
  </w:endnote>
  <w:endnote w:id="9">
    <w:p w14:paraId="10D35BED" w14:textId="4B1A46C9" w:rsidR="004327C7" w:rsidRPr="00443A8D" w:rsidRDefault="004327C7" w:rsidP="00880429">
      <w:pPr>
        <w:pStyle w:val="Eindnoottekst"/>
        <w:spacing w:line="480" w:lineRule="auto"/>
        <w:rPr>
          <w:lang w:val="pt-BR"/>
        </w:rPr>
      </w:pPr>
      <w:r w:rsidRPr="00443A8D">
        <w:rPr>
          <w:rStyle w:val="Eindnootmarkering"/>
        </w:rPr>
        <w:endnoteRef/>
      </w:r>
      <w:r w:rsidRPr="00443A8D">
        <w:t xml:space="preserve"> Stuyver, T.; Zeng, T.; Tsuji, Y.; Fias, S.; Geerlings, P.; De Proft, F. </w:t>
      </w:r>
      <w:r w:rsidRPr="00443A8D">
        <w:rPr>
          <w:i/>
          <w:iCs/>
        </w:rPr>
        <w:t xml:space="preserve">J. Phys. </w:t>
      </w:r>
      <w:r w:rsidRPr="00443A8D">
        <w:rPr>
          <w:i/>
          <w:iCs/>
          <w:lang w:val="pt-BR"/>
        </w:rPr>
        <w:t>Chem. C</w:t>
      </w:r>
      <w:r w:rsidRPr="00443A8D">
        <w:rPr>
          <w:lang w:val="pt-BR"/>
        </w:rPr>
        <w:t xml:space="preserve"> </w:t>
      </w:r>
      <w:r w:rsidRPr="00443A8D">
        <w:rPr>
          <w:b/>
          <w:bCs/>
          <w:lang w:val="pt-BR"/>
        </w:rPr>
        <w:t>2017</w:t>
      </w:r>
      <w:r w:rsidRPr="00443A8D">
        <w:rPr>
          <w:lang w:val="pt-BR"/>
        </w:rPr>
        <w:t xml:space="preserve">, </w:t>
      </w:r>
      <w:r w:rsidRPr="00443A8D">
        <w:rPr>
          <w:i/>
          <w:iCs/>
          <w:lang w:val="pt-BR"/>
        </w:rPr>
        <w:t>122</w:t>
      </w:r>
      <w:r w:rsidRPr="00443A8D">
        <w:rPr>
          <w:lang w:val="pt-BR"/>
        </w:rPr>
        <w:t xml:space="preserve"> (6), 3194-3200.</w:t>
      </w:r>
    </w:p>
  </w:endnote>
  <w:endnote w:id="10">
    <w:p w14:paraId="5EF5142F" w14:textId="77777777" w:rsidR="004327C7" w:rsidRPr="00443A8D" w:rsidRDefault="004327C7" w:rsidP="00880429">
      <w:pPr>
        <w:pStyle w:val="Eindnoottekst"/>
        <w:spacing w:line="480" w:lineRule="auto"/>
        <w:rPr>
          <w:lang w:val="pt-BR"/>
        </w:rPr>
      </w:pPr>
      <w:r w:rsidRPr="00443A8D">
        <w:rPr>
          <w:rStyle w:val="Eindnootmarkering"/>
        </w:rPr>
        <w:endnoteRef/>
      </w:r>
      <w:r w:rsidRPr="00443A8D">
        <w:rPr>
          <w:lang w:val="pt-BR"/>
        </w:rPr>
        <w:t xml:space="preserve"> Ramos-Berdullas, N.; Gil-Guerrero, S.; Mandado, M. </w:t>
      </w:r>
      <w:r w:rsidRPr="00443A8D">
        <w:rPr>
          <w:i/>
          <w:iCs/>
          <w:lang w:val="pt-BR"/>
        </w:rPr>
        <w:t xml:space="preserve">Int. J. Quant. Chem. </w:t>
      </w:r>
      <w:r w:rsidRPr="00443A8D">
        <w:rPr>
          <w:b/>
          <w:bCs/>
          <w:lang w:val="pt-BR"/>
        </w:rPr>
        <w:t>2018</w:t>
      </w:r>
      <w:r w:rsidRPr="00443A8D">
        <w:rPr>
          <w:lang w:val="pt-BR"/>
        </w:rPr>
        <w:t>, e25651.</w:t>
      </w:r>
    </w:p>
  </w:endnote>
  <w:endnote w:id="11">
    <w:p w14:paraId="2484AF09" w14:textId="77777777" w:rsidR="004327C7" w:rsidRPr="00443A8D" w:rsidRDefault="004327C7" w:rsidP="00880429">
      <w:pPr>
        <w:pStyle w:val="Eindnoottekst"/>
        <w:spacing w:line="480" w:lineRule="auto"/>
        <w:rPr>
          <w:i/>
          <w:iCs/>
          <w:lang w:val="pt-BR"/>
        </w:rPr>
      </w:pPr>
      <w:r w:rsidRPr="00443A8D">
        <w:rPr>
          <w:rStyle w:val="Eindnootmarkering"/>
        </w:rPr>
        <w:endnoteRef/>
      </w:r>
      <w:r w:rsidRPr="00443A8D">
        <w:rPr>
          <w:lang w:val="pt-BR"/>
        </w:rPr>
        <w:t xml:space="preserve"> Algethami, N.; Sadeghi, H.; Sangtarash, S.; Lambert, C. J. </w:t>
      </w:r>
      <w:r w:rsidRPr="00443A8D">
        <w:rPr>
          <w:i/>
          <w:iCs/>
          <w:lang w:val="pt-BR"/>
        </w:rPr>
        <w:t xml:space="preserve">Nano Lett. </w:t>
      </w:r>
      <w:r w:rsidRPr="00443A8D">
        <w:rPr>
          <w:b/>
          <w:bCs/>
          <w:lang w:val="pt-BR"/>
        </w:rPr>
        <w:t>2018</w:t>
      </w:r>
      <w:r w:rsidRPr="00443A8D">
        <w:rPr>
          <w:lang w:val="pt-BR"/>
        </w:rPr>
        <w:t xml:space="preserve">, </w:t>
      </w:r>
      <w:r w:rsidRPr="00443A8D">
        <w:rPr>
          <w:i/>
          <w:iCs/>
          <w:lang w:val="pt-BR"/>
        </w:rPr>
        <w:t>18</w:t>
      </w:r>
      <w:r w:rsidRPr="00443A8D">
        <w:rPr>
          <w:lang w:val="pt-BR"/>
        </w:rPr>
        <w:t>, 4482-4486.</w:t>
      </w:r>
    </w:p>
  </w:endnote>
  <w:endnote w:id="12">
    <w:p w14:paraId="08DC32B5" w14:textId="13D14D9A" w:rsidR="004327C7" w:rsidRPr="00443A8D" w:rsidRDefault="004327C7" w:rsidP="00880429">
      <w:pPr>
        <w:pStyle w:val="Eindnoottekst"/>
        <w:spacing w:line="480" w:lineRule="auto"/>
        <w:rPr>
          <w:lang w:val="pt-BR"/>
        </w:rPr>
      </w:pPr>
      <w:r w:rsidRPr="00443A8D">
        <w:rPr>
          <w:rStyle w:val="Eindnootmarkering"/>
        </w:rPr>
        <w:endnoteRef/>
      </w:r>
      <w:r w:rsidRPr="00443A8D">
        <w:rPr>
          <w:lang w:val="pt-BR"/>
        </w:rPr>
        <w:t xml:space="preserve"> Garner, M. H.; Bro-Jorgensen, W.; Pedersen, P. D.; Solomon, G. C. </w:t>
      </w:r>
      <w:r w:rsidRPr="00443A8D">
        <w:rPr>
          <w:i/>
          <w:iCs/>
          <w:lang w:val="pt-BR"/>
        </w:rPr>
        <w:t>J. Phys. Chem. C</w:t>
      </w:r>
      <w:r w:rsidRPr="00443A8D">
        <w:rPr>
          <w:lang w:val="pt-BR"/>
        </w:rPr>
        <w:t xml:space="preserve"> </w:t>
      </w:r>
      <w:r w:rsidRPr="00443A8D">
        <w:rPr>
          <w:b/>
          <w:bCs/>
          <w:lang w:val="pt-BR"/>
        </w:rPr>
        <w:t>2018</w:t>
      </w:r>
      <w:r w:rsidRPr="00443A8D">
        <w:rPr>
          <w:lang w:val="pt-BR"/>
        </w:rPr>
        <w:t xml:space="preserve">, </w:t>
      </w:r>
      <w:r w:rsidRPr="00443A8D">
        <w:rPr>
          <w:b/>
          <w:bCs/>
          <w:lang w:val="pt-BR"/>
        </w:rPr>
        <w:t>DOI: </w:t>
      </w:r>
      <w:r w:rsidRPr="00443A8D">
        <w:rPr>
          <w:lang w:val="pt-BR"/>
        </w:rPr>
        <w:t xml:space="preserve">10.1021/acs.jpcc.8b05661 </w:t>
      </w:r>
    </w:p>
  </w:endnote>
  <w:endnote w:id="13">
    <w:p w14:paraId="66445325" w14:textId="77777777" w:rsidR="004327C7" w:rsidRPr="00443A8D" w:rsidRDefault="004327C7" w:rsidP="00880429">
      <w:pPr>
        <w:pStyle w:val="Eindnoottekst"/>
        <w:spacing w:line="480" w:lineRule="auto"/>
        <w:rPr>
          <w:lang w:val="en-US"/>
        </w:rPr>
      </w:pPr>
      <w:r w:rsidRPr="00443A8D">
        <w:rPr>
          <w:rStyle w:val="Eindnootmarkering"/>
        </w:rPr>
        <w:endnoteRef/>
      </w:r>
      <w:r w:rsidRPr="00443A8D">
        <w:rPr>
          <w:lang w:val="en-US"/>
        </w:rPr>
        <w:t xml:space="preserve"> Sedghi, G.; Esdaile, L. J.; Anderson, H. L.; Martin, S.; Bethell, D.; Higgins, S. J.; Nichols, R. J. </w:t>
      </w:r>
      <w:r w:rsidRPr="00443A8D">
        <w:rPr>
          <w:i/>
          <w:iCs/>
          <w:lang w:val="en-US"/>
        </w:rPr>
        <w:t xml:space="preserve">Adv. Mater. </w:t>
      </w:r>
      <w:r w:rsidRPr="00443A8D">
        <w:rPr>
          <w:b/>
          <w:bCs/>
          <w:lang w:val="en-US"/>
        </w:rPr>
        <w:t>2012</w:t>
      </w:r>
      <w:r w:rsidRPr="00443A8D">
        <w:rPr>
          <w:lang w:val="en-US"/>
        </w:rPr>
        <w:t xml:space="preserve">, </w:t>
      </w:r>
      <w:r w:rsidRPr="00443A8D">
        <w:rPr>
          <w:i/>
          <w:iCs/>
          <w:lang w:val="en-US"/>
        </w:rPr>
        <w:t>24</w:t>
      </w:r>
      <w:r w:rsidRPr="00443A8D">
        <w:rPr>
          <w:lang w:val="en-US"/>
        </w:rPr>
        <w:t>, 653-657.</w:t>
      </w:r>
    </w:p>
  </w:endnote>
  <w:endnote w:id="14">
    <w:p w14:paraId="22A680B5" w14:textId="67AC0E28" w:rsidR="004327C7" w:rsidRPr="00443A8D" w:rsidRDefault="004327C7" w:rsidP="00E75B1E">
      <w:pPr>
        <w:pStyle w:val="Eindnoottekst"/>
        <w:spacing w:line="480" w:lineRule="auto"/>
        <w:rPr>
          <w:lang w:val="en-US"/>
        </w:rPr>
      </w:pPr>
      <w:r w:rsidRPr="00443A8D">
        <w:rPr>
          <w:rStyle w:val="Eindnootmarkering"/>
        </w:rPr>
        <w:endnoteRef/>
      </w:r>
      <w:r w:rsidRPr="00443A8D">
        <w:rPr>
          <w:lang w:val="en-US"/>
        </w:rPr>
        <w:t xml:space="preserve"> Yoshizawa, K.; Tada, T.; Staykov, A. </w:t>
      </w:r>
      <w:r w:rsidRPr="00443A8D">
        <w:rPr>
          <w:i/>
          <w:iCs/>
          <w:lang w:val="en-US"/>
        </w:rPr>
        <w:t xml:space="preserve">J. Am. Chem. Soc. </w:t>
      </w:r>
      <w:r w:rsidRPr="00443A8D">
        <w:rPr>
          <w:b/>
          <w:bCs/>
          <w:lang w:val="en-US"/>
        </w:rPr>
        <w:t>2008</w:t>
      </w:r>
      <w:r w:rsidRPr="00443A8D">
        <w:rPr>
          <w:lang w:val="en-US"/>
        </w:rPr>
        <w:t xml:space="preserve">, </w:t>
      </w:r>
      <w:r w:rsidRPr="00443A8D">
        <w:rPr>
          <w:i/>
          <w:iCs/>
          <w:lang w:val="en-US"/>
        </w:rPr>
        <w:t>130</w:t>
      </w:r>
      <w:r w:rsidRPr="00443A8D">
        <w:rPr>
          <w:lang w:val="en-US"/>
        </w:rPr>
        <w:t>, 9406-9413.</w:t>
      </w:r>
    </w:p>
  </w:endnote>
  <w:endnote w:id="15">
    <w:p w14:paraId="557468C9" w14:textId="0B7DC889" w:rsidR="0067139C" w:rsidRPr="0047495B" w:rsidRDefault="0067139C" w:rsidP="00E75B1E">
      <w:pPr>
        <w:pStyle w:val="Tekstopmerking"/>
        <w:spacing w:line="480" w:lineRule="auto"/>
        <w:rPr>
          <w:lang w:val="de-DE"/>
        </w:rPr>
      </w:pPr>
      <w:r>
        <w:rPr>
          <w:rStyle w:val="Eindnootmarkering"/>
        </w:rPr>
        <w:endnoteRef/>
      </w:r>
      <w:r w:rsidRPr="0047495B">
        <w:rPr>
          <w:lang w:val="it-IT"/>
        </w:rPr>
        <w:t xml:space="preserve"> Xue, Y.; Datta, S.; Ratner, M. A. </w:t>
      </w:r>
      <w:r w:rsidRPr="0047495B">
        <w:rPr>
          <w:i/>
          <w:iCs/>
          <w:lang w:val="it-IT"/>
        </w:rPr>
        <w:t xml:space="preserve">J. Chem. </w:t>
      </w:r>
      <w:r w:rsidRPr="0047495B">
        <w:rPr>
          <w:i/>
          <w:iCs/>
          <w:lang w:val="de-DE"/>
        </w:rPr>
        <w:t>Phys.</w:t>
      </w:r>
      <w:r w:rsidRPr="0047495B">
        <w:rPr>
          <w:lang w:val="de-DE"/>
        </w:rPr>
        <w:t xml:space="preserve"> </w:t>
      </w:r>
      <w:r w:rsidRPr="0047495B">
        <w:rPr>
          <w:b/>
          <w:bCs/>
          <w:lang w:val="de-DE"/>
        </w:rPr>
        <w:t>2001</w:t>
      </w:r>
      <w:r w:rsidRPr="0047495B">
        <w:rPr>
          <w:lang w:val="de-DE"/>
        </w:rPr>
        <w:t xml:space="preserve">, </w:t>
      </w:r>
      <w:r w:rsidRPr="0047495B">
        <w:rPr>
          <w:i/>
          <w:iCs/>
          <w:lang w:val="de-DE"/>
        </w:rPr>
        <w:t>115</w:t>
      </w:r>
      <w:r w:rsidRPr="0047495B">
        <w:rPr>
          <w:lang w:val="de-DE"/>
        </w:rPr>
        <w:t>, 4292– 4299</w:t>
      </w:r>
    </w:p>
  </w:endnote>
  <w:endnote w:id="16">
    <w:p w14:paraId="07D9B968" w14:textId="4B17BFEF" w:rsidR="004327C7" w:rsidRPr="00764A07" w:rsidRDefault="004327C7" w:rsidP="00E75B1E">
      <w:pPr>
        <w:pStyle w:val="Eindnoottekst"/>
        <w:spacing w:line="480" w:lineRule="auto"/>
        <w:rPr>
          <w:lang w:val="en-US"/>
        </w:rPr>
      </w:pPr>
      <w:r w:rsidRPr="00443A8D">
        <w:rPr>
          <w:rStyle w:val="Eindnootmarkering"/>
        </w:rPr>
        <w:endnoteRef/>
      </w:r>
      <w:r w:rsidRPr="00443A8D">
        <w:rPr>
          <w:lang w:val="de-DE"/>
        </w:rPr>
        <w:t xml:space="preserve"> Tsuji, Y.; Hoffmann, R. </w:t>
      </w:r>
      <w:r w:rsidRPr="00443A8D">
        <w:rPr>
          <w:i/>
          <w:iCs/>
          <w:lang w:val="de-DE"/>
        </w:rPr>
        <w:t xml:space="preserve">Angew. </w:t>
      </w:r>
      <w:r w:rsidRPr="00764A07">
        <w:rPr>
          <w:i/>
          <w:iCs/>
          <w:lang w:val="en-US"/>
        </w:rPr>
        <w:t>Chem.</w:t>
      </w:r>
      <w:r w:rsidRPr="00764A07">
        <w:rPr>
          <w:lang w:val="en-US"/>
        </w:rPr>
        <w:t xml:space="preserve">, </w:t>
      </w:r>
      <w:r w:rsidRPr="00764A07">
        <w:rPr>
          <w:i/>
          <w:iCs/>
          <w:lang w:val="en-US"/>
        </w:rPr>
        <w:t>Int. Ed.</w:t>
      </w:r>
      <w:r w:rsidRPr="00764A07">
        <w:rPr>
          <w:lang w:val="en-US"/>
        </w:rPr>
        <w:t xml:space="preserve"> </w:t>
      </w:r>
      <w:r w:rsidRPr="00764A07">
        <w:rPr>
          <w:b/>
          <w:bCs/>
          <w:lang w:val="en-US"/>
        </w:rPr>
        <w:t>2014</w:t>
      </w:r>
      <w:r w:rsidRPr="00764A07">
        <w:rPr>
          <w:lang w:val="en-US"/>
        </w:rPr>
        <w:t xml:space="preserve">, </w:t>
      </w:r>
      <w:r w:rsidRPr="00764A07">
        <w:rPr>
          <w:i/>
          <w:iCs/>
          <w:lang w:val="en-US"/>
        </w:rPr>
        <w:t>53</w:t>
      </w:r>
      <w:r w:rsidRPr="00764A07">
        <w:rPr>
          <w:lang w:val="en-US"/>
        </w:rPr>
        <w:t>, 4093-4097.</w:t>
      </w:r>
    </w:p>
  </w:endnote>
  <w:endnote w:id="17">
    <w:p w14:paraId="1BD92219" w14:textId="77777777" w:rsidR="004663E3" w:rsidRPr="00764A07" w:rsidRDefault="004663E3" w:rsidP="004663E3">
      <w:pPr>
        <w:pStyle w:val="Eindnoottekst"/>
        <w:spacing w:line="480" w:lineRule="auto"/>
        <w:rPr>
          <w:lang w:val="en-US"/>
        </w:rPr>
      </w:pPr>
      <w:r>
        <w:rPr>
          <w:rStyle w:val="Eindnootmarkering"/>
        </w:rPr>
        <w:endnoteRef/>
      </w:r>
      <w:r w:rsidRPr="004663E3">
        <w:rPr>
          <w:lang w:val="en-US"/>
        </w:rPr>
        <w:t xml:space="preserve"> Tada, T.; Yoshizawa, K. </w:t>
      </w:r>
      <w:r w:rsidRPr="004663E3">
        <w:rPr>
          <w:i/>
          <w:iCs/>
          <w:lang w:val="en-US"/>
        </w:rPr>
        <w:t xml:space="preserve">Phys. Chem. </w:t>
      </w:r>
      <w:r w:rsidRPr="00764A07">
        <w:rPr>
          <w:i/>
          <w:iCs/>
          <w:lang w:val="en-US"/>
        </w:rPr>
        <w:t xml:space="preserve">Chem. Phys. </w:t>
      </w:r>
      <w:r w:rsidRPr="00764A07">
        <w:rPr>
          <w:b/>
          <w:bCs/>
          <w:lang w:val="en-US"/>
        </w:rPr>
        <w:t>2015</w:t>
      </w:r>
      <w:r w:rsidRPr="00764A07">
        <w:rPr>
          <w:lang w:val="en-US"/>
        </w:rPr>
        <w:t>, </w:t>
      </w:r>
      <w:r w:rsidRPr="00764A07">
        <w:rPr>
          <w:i/>
          <w:iCs/>
          <w:lang w:val="en-US"/>
        </w:rPr>
        <w:t>17</w:t>
      </w:r>
      <w:r w:rsidRPr="00764A07">
        <w:rPr>
          <w:lang w:val="en-US"/>
        </w:rPr>
        <w:t>, 32099-32110.</w:t>
      </w:r>
    </w:p>
  </w:endnote>
  <w:endnote w:id="18">
    <w:p w14:paraId="46AA6CF3" w14:textId="692B1B86" w:rsidR="004327C7" w:rsidRPr="00443A8D" w:rsidRDefault="004327C7" w:rsidP="00E75B1E">
      <w:pPr>
        <w:pStyle w:val="Eindnoottekst"/>
        <w:spacing w:line="480" w:lineRule="auto"/>
        <w:rPr>
          <w:lang w:val="it-IT"/>
        </w:rPr>
      </w:pPr>
      <w:r w:rsidRPr="00443A8D">
        <w:rPr>
          <w:rStyle w:val="Eindnootmarkering"/>
        </w:rPr>
        <w:endnoteRef/>
      </w:r>
      <w:r w:rsidRPr="00764A07">
        <w:rPr>
          <w:lang w:val="en-US"/>
        </w:rPr>
        <w:t xml:space="preserve"> Perepichka, D. F.; Bryce, M. R. </w:t>
      </w:r>
      <w:r w:rsidRPr="00764A07">
        <w:rPr>
          <w:i/>
          <w:iCs/>
          <w:lang w:val="en-US"/>
        </w:rPr>
        <w:t xml:space="preserve">Angew. </w:t>
      </w:r>
      <w:r w:rsidRPr="00443A8D">
        <w:rPr>
          <w:i/>
          <w:iCs/>
          <w:lang w:val="it-IT"/>
        </w:rPr>
        <w:t xml:space="preserve">Chem., Int. Ed. </w:t>
      </w:r>
      <w:r w:rsidRPr="00443A8D">
        <w:rPr>
          <w:b/>
          <w:bCs/>
          <w:lang w:val="it-IT"/>
        </w:rPr>
        <w:t>2005</w:t>
      </w:r>
      <w:r w:rsidRPr="00443A8D">
        <w:rPr>
          <w:lang w:val="it-IT"/>
        </w:rPr>
        <w:t xml:space="preserve">, </w:t>
      </w:r>
      <w:r w:rsidRPr="00443A8D">
        <w:rPr>
          <w:i/>
          <w:iCs/>
          <w:lang w:val="it-IT"/>
        </w:rPr>
        <w:t>44</w:t>
      </w:r>
      <w:r w:rsidRPr="00443A8D">
        <w:rPr>
          <w:lang w:val="it-IT"/>
        </w:rPr>
        <w:t>, 5370-5373.</w:t>
      </w:r>
    </w:p>
  </w:endnote>
  <w:endnote w:id="19">
    <w:p w14:paraId="43E8F6EB" w14:textId="35CBCC81" w:rsidR="004327C7" w:rsidRPr="00443A8D" w:rsidRDefault="004327C7" w:rsidP="00E75B1E">
      <w:pPr>
        <w:pStyle w:val="Eindnoottekst"/>
        <w:spacing w:line="480" w:lineRule="auto"/>
        <w:rPr>
          <w:lang w:val="it-IT"/>
        </w:rPr>
      </w:pPr>
      <w:r w:rsidRPr="00443A8D">
        <w:rPr>
          <w:rStyle w:val="Eindnootmarkering"/>
        </w:rPr>
        <w:endnoteRef/>
      </w:r>
      <w:r w:rsidRPr="00443A8D">
        <w:rPr>
          <w:lang w:val="it-IT"/>
        </w:rPr>
        <w:t xml:space="preserve"> Giacalone, F.; Segura, J. L.; Martin, N.; Guldi, D. M. </w:t>
      </w:r>
      <w:r w:rsidRPr="00443A8D">
        <w:rPr>
          <w:i/>
          <w:iCs/>
          <w:lang w:val="it-IT"/>
        </w:rPr>
        <w:t>J. Am. Chem. Soc.</w:t>
      </w:r>
      <w:r w:rsidRPr="00443A8D">
        <w:rPr>
          <w:lang w:val="it-IT"/>
        </w:rPr>
        <w:t xml:space="preserve"> </w:t>
      </w:r>
      <w:r w:rsidRPr="00443A8D">
        <w:rPr>
          <w:b/>
          <w:bCs/>
          <w:lang w:val="it-IT"/>
        </w:rPr>
        <w:t>2004</w:t>
      </w:r>
      <w:r w:rsidRPr="00443A8D">
        <w:rPr>
          <w:lang w:val="it-IT"/>
        </w:rPr>
        <w:t xml:space="preserve">, </w:t>
      </w:r>
      <w:r w:rsidRPr="00443A8D">
        <w:rPr>
          <w:i/>
          <w:iCs/>
          <w:lang w:val="it-IT"/>
        </w:rPr>
        <w:t>126</w:t>
      </w:r>
      <w:r w:rsidRPr="00443A8D">
        <w:rPr>
          <w:lang w:val="it-IT"/>
        </w:rPr>
        <w:t>, 5340-5341.</w:t>
      </w:r>
    </w:p>
  </w:endnote>
  <w:endnote w:id="20">
    <w:p w14:paraId="1689B9FF" w14:textId="2764D69A" w:rsidR="004327C7" w:rsidRPr="00642BC2" w:rsidRDefault="004327C7" w:rsidP="00880429">
      <w:pPr>
        <w:pStyle w:val="Eindnoottekst"/>
        <w:spacing w:line="480" w:lineRule="auto"/>
        <w:rPr>
          <w:lang w:val="it-IT"/>
        </w:rPr>
      </w:pPr>
      <w:r w:rsidRPr="00443A8D">
        <w:rPr>
          <w:rStyle w:val="Eindnootmarkering"/>
        </w:rPr>
        <w:endnoteRef/>
      </w:r>
      <w:r w:rsidRPr="0067139C">
        <w:rPr>
          <w:lang w:val="it-IT"/>
        </w:rPr>
        <w:t xml:space="preserve"> Kamada, K.; Ohta, K.; Shimizu, A.; Kubo, T.; Kishi, R.; Takahashi, H.; Botek, E.; Champagne, B.; Nakano, M. </w:t>
      </w:r>
      <w:r w:rsidRPr="0067139C">
        <w:rPr>
          <w:i/>
          <w:iCs/>
          <w:lang w:val="it-IT"/>
        </w:rPr>
        <w:t>J. Phys. Chem. L</w:t>
      </w:r>
      <w:r w:rsidRPr="00642BC2">
        <w:rPr>
          <w:i/>
          <w:iCs/>
          <w:lang w:val="it-IT"/>
        </w:rPr>
        <w:t>ett.</w:t>
      </w:r>
      <w:r w:rsidRPr="00642BC2">
        <w:rPr>
          <w:lang w:val="it-IT"/>
        </w:rPr>
        <w:t xml:space="preserve"> </w:t>
      </w:r>
      <w:r w:rsidRPr="00642BC2">
        <w:rPr>
          <w:b/>
          <w:bCs/>
          <w:lang w:val="it-IT"/>
        </w:rPr>
        <w:t>2010</w:t>
      </w:r>
      <w:r w:rsidRPr="00642BC2">
        <w:rPr>
          <w:lang w:val="it-IT"/>
        </w:rPr>
        <w:t xml:space="preserve">, </w:t>
      </w:r>
      <w:r w:rsidRPr="00642BC2">
        <w:rPr>
          <w:i/>
          <w:iCs/>
          <w:lang w:val="it-IT"/>
        </w:rPr>
        <w:t>1</w:t>
      </w:r>
      <w:r w:rsidRPr="00642BC2">
        <w:rPr>
          <w:lang w:val="it-IT"/>
        </w:rPr>
        <w:t>, 937-940.</w:t>
      </w:r>
    </w:p>
  </w:endnote>
  <w:endnote w:id="21">
    <w:p w14:paraId="12FE877D" w14:textId="44627068" w:rsidR="004327C7" w:rsidRPr="00642BC2" w:rsidRDefault="004327C7" w:rsidP="00880429">
      <w:pPr>
        <w:pStyle w:val="Eindnoottekst"/>
        <w:spacing w:line="480" w:lineRule="auto"/>
        <w:rPr>
          <w:lang w:val="it-IT"/>
        </w:rPr>
      </w:pPr>
      <w:r w:rsidRPr="00443A8D">
        <w:rPr>
          <w:rStyle w:val="Eindnootmarkering"/>
        </w:rPr>
        <w:endnoteRef/>
      </w:r>
      <w:r w:rsidRPr="0047495B">
        <w:rPr>
          <w:lang w:val="it-IT"/>
        </w:rPr>
        <w:t xml:space="preserve"> Minami, T.; Nakano, M. </w:t>
      </w:r>
      <w:r w:rsidRPr="0047495B">
        <w:rPr>
          <w:i/>
          <w:iCs/>
          <w:lang w:val="it-IT"/>
        </w:rPr>
        <w:t xml:space="preserve">Phys. </w:t>
      </w:r>
      <w:r w:rsidRPr="00642BC2">
        <w:rPr>
          <w:i/>
          <w:iCs/>
          <w:lang w:val="it-IT"/>
        </w:rPr>
        <w:t>Chem. Lett.</w:t>
      </w:r>
      <w:r w:rsidRPr="00642BC2">
        <w:rPr>
          <w:lang w:val="it-IT"/>
        </w:rPr>
        <w:t xml:space="preserve"> </w:t>
      </w:r>
      <w:r w:rsidRPr="00642BC2">
        <w:rPr>
          <w:b/>
          <w:bCs/>
          <w:lang w:val="it-IT"/>
        </w:rPr>
        <w:t>2011</w:t>
      </w:r>
      <w:r w:rsidRPr="00642BC2">
        <w:rPr>
          <w:lang w:val="it-IT"/>
        </w:rPr>
        <w:t xml:space="preserve">, </w:t>
      </w:r>
      <w:r w:rsidRPr="00642BC2">
        <w:rPr>
          <w:i/>
          <w:iCs/>
          <w:lang w:val="it-IT"/>
        </w:rPr>
        <w:t>3</w:t>
      </w:r>
      <w:r w:rsidRPr="00642BC2">
        <w:rPr>
          <w:lang w:val="it-IT"/>
        </w:rPr>
        <w:t>, 145-150.</w:t>
      </w:r>
    </w:p>
  </w:endnote>
  <w:endnote w:id="22">
    <w:p w14:paraId="2E14C261" w14:textId="309B58F3" w:rsidR="004327C7" w:rsidRPr="0067139C" w:rsidRDefault="004327C7" w:rsidP="00880429">
      <w:pPr>
        <w:pStyle w:val="Eindnoottekst"/>
        <w:spacing w:line="480" w:lineRule="auto"/>
        <w:rPr>
          <w:lang w:val="it-IT"/>
        </w:rPr>
      </w:pPr>
      <w:r w:rsidRPr="00443A8D">
        <w:rPr>
          <w:rStyle w:val="Eindnootmarkering"/>
        </w:rPr>
        <w:endnoteRef/>
      </w:r>
      <w:r w:rsidRPr="0067139C">
        <w:rPr>
          <w:lang w:val="it-IT"/>
        </w:rPr>
        <w:t xml:space="preserve"> Voigt, B. A.; Steenbock, T.; Herrmann, C. </w:t>
      </w:r>
      <w:r w:rsidRPr="0067139C">
        <w:rPr>
          <w:i/>
          <w:iCs/>
          <w:lang w:val="it-IT"/>
        </w:rPr>
        <w:t>arXiv preprint arXiv:1802.06695</w:t>
      </w:r>
      <w:r w:rsidRPr="0067139C">
        <w:rPr>
          <w:lang w:val="it-IT"/>
        </w:rPr>
        <w:t>.</w:t>
      </w:r>
    </w:p>
  </w:endnote>
  <w:endnote w:id="23">
    <w:p w14:paraId="6C301BF8" w14:textId="77777777" w:rsidR="004327C7" w:rsidRPr="00ED0DDC" w:rsidRDefault="004327C7" w:rsidP="00880429">
      <w:pPr>
        <w:pStyle w:val="Eindnoottekst"/>
        <w:spacing w:line="480" w:lineRule="auto"/>
        <w:rPr>
          <w:lang w:val="de-DE"/>
        </w:rPr>
      </w:pPr>
      <w:r w:rsidRPr="00443A8D">
        <w:rPr>
          <w:rStyle w:val="Eindnootmarkering"/>
        </w:rPr>
        <w:endnoteRef/>
      </w:r>
      <w:r w:rsidRPr="00ED0DDC">
        <w:rPr>
          <w:lang w:val="de-DE"/>
        </w:rPr>
        <w:t xml:space="preserve"> Solà, M. </w:t>
      </w:r>
      <w:r w:rsidRPr="00ED0DDC">
        <w:rPr>
          <w:i/>
          <w:iCs/>
          <w:lang w:val="de-DE"/>
        </w:rPr>
        <w:t>Front. Chem.</w:t>
      </w:r>
      <w:r w:rsidRPr="00ED0DDC">
        <w:rPr>
          <w:lang w:val="de-DE"/>
        </w:rPr>
        <w:t xml:space="preserve"> </w:t>
      </w:r>
      <w:r w:rsidRPr="00ED0DDC">
        <w:rPr>
          <w:b/>
          <w:bCs/>
          <w:lang w:val="de-DE"/>
        </w:rPr>
        <w:t>2013</w:t>
      </w:r>
      <w:r w:rsidRPr="00ED0DDC">
        <w:rPr>
          <w:lang w:val="de-DE"/>
        </w:rPr>
        <w:t xml:space="preserve">, </w:t>
      </w:r>
      <w:r w:rsidRPr="00ED0DDC">
        <w:rPr>
          <w:i/>
          <w:iCs/>
          <w:lang w:val="de-DE"/>
        </w:rPr>
        <w:t>1</w:t>
      </w:r>
      <w:r w:rsidRPr="00ED0DDC">
        <w:rPr>
          <w:lang w:val="de-DE"/>
        </w:rPr>
        <w:t>, 22.</w:t>
      </w:r>
    </w:p>
  </w:endnote>
  <w:endnote w:id="24">
    <w:p w14:paraId="4DC241A3" w14:textId="76D1890D" w:rsidR="004327C7" w:rsidRPr="00ED0DDC" w:rsidRDefault="004327C7" w:rsidP="00880429">
      <w:pPr>
        <w:pStyle w:val="Eindnoottekst"/>
        <w:spacing w:line="480" w:lineRule="auto"/>
        <w:rPr>
          <w:lang w:val="pl-PL"/>
        </w:rPr>
      </w:pPr>
      <w:r>
        <w:rPr>
          <w:rStyle w:val="Eindnootmarkering"/>
        </w:rPr>
        <w:endnoteRef/>
      </w:r>
      <w:r w:rsidRPr="009E4A2D">
        <w:rPr>
          <w:lang w:val="de-DE"/>
        </w:rPr>
        <w:t xml:space="preserve"> Doehnert, D.; Koutecky, J. </w:t>
      </w:r>
      <w:r w:rsidRPr="009E4A2D">
        <w:rPr>
          <w:i/>
          <w:iCs/>
          <w:lang w:val="de-DE"/>
        </w:rPr>
        <w:t xml:space="preserve">J. </w:t>
      </w:r>
      <w:r>
        <w:rPr>
          <w:i/>
          <w:iCs/>
          <w:lang w:val="de-DE"/>
        </w:rPr>
        <w:t xml:space="preserve">Am. </w:t>
      </w:r>
      <w:r w:rsidRPr="00ED0DDC">
        <w:rPr>
          <w:i/>
          <w:iCs/>
          <w:lang w:val="pl-PL"/>
        </w:rPr>
        <w:t>Chem. Soc.</w:t>
      </w:r>
      <w:r w:rsidRPr="00ED0DDC">
        <w:rPr>
          <w:lang w:val="pl-PL"/>
        </w:rPr>
        <w:t xml:space="preserve"> </w:t>
      </w:r>
      <w:r w:rsidRPr="00ED0DDC">
        <w:rPr>
          <w:b/>
          <w:bCs/>
          <w:lang w:val="pl-PL"/>
        </w:rPr>
        <w:t>1980</w:t>
      </w:r>
      <w:r w:rsidRPr="00ED0DDC">
        <w:rPr>
          <w:lang w:val="pl-PL"/>
        </w:rPr>
        <w:t xml:space="preserve">, </w:t>
      </w:r>
      <w:r w:rsidRPr="00ED0DDC">
        <w:rPr>
          <w:i/>
          <w:iCs/>
          <w:lang w:val="pl-PL"/>
        </w:rPr>
        <w:t>102</w:t>
      </w:r>
      <w:r w:rsidRPr="00ED0DDC">
        <w:rPr>
          <w:lang w:val="pl-PL"/>
        </w:rPr>
        <w:t>, 1789-1796.</w:t>
      </w:r>
    </w:p>
  </w:endnote>
  <w:endnote w:id="25">
    <w:p w14:paraId="4CCE0992" w14:textId="6F688A7B" w:rsidR="004327C7" w:rsidRPr="00443A8D" w:rsidRDefault="004327C7" w:rsidP="00880429">
      <w:pPr>
        <w:pStyle w:val="Eindnoottekst"/>
        <w:spacing w:line="480" w:lineRule="auto"/>
        <w:rPr>
          <w:lang w:val="pl-PL"/>
        </w:rPr>
      </w:pPr>
      <w:r w:rsidRPr="00443A8D">
        <w:rPr>
          <w:rStyle w:val="Eindnootmarkering"/>
        </w:rPr>
        <w:endnoteRef/>
      </w:r>
      <w:r w:rsidRPr="006E58F1">
        <w:rPr>
          <w:lang w:val="pl-PL"/>
        </w:rPr>
        <w:t xml:space="preserve"> </w:t>
      </w:r>
      <w:r w:rsidRPr="006E58F1">
        <w:rPr>
          <w:rFonts w:eastAsia="Times New Roman" w:cstheme="majorBidi"/>
          <w:color w:val="222222"/>
          <w:shd w:val="clear" w:color="auto" w:fill="FFFFFF"/>
          <w:lang w:val="pl-PL"/>
        </w:rPr>
        <w:t xml:space="preserve">Minami, T.; Ito, S.; Nakano, M. </w:t>
      </w:r>
      <w:r w:rsidRPr="006E58F1">
        <w:rPr>
          <w:rFonts w:eastAsia="Times New Roman" w:cstheme="majorBidi"/>
          <w:i/>
          <w:iCs/>
          <w:color w:val="222222"/>
          <w:shd w:val="clear" w:color="auto" w:fill="FFFFFF"/>
          <w:lang w:val="pl-PL"/>
        </w:rPr>
        <w:t xml:space="preserve">J. Phys. </w:t>
      </w:r>
      <w:r w:rsidRPr="00443A8D">
        <w:rPr>
          <w:rFonts w:eastAsia="Times New Roman" w:cstheme="majorBidi"/>
          <w:i/>
          <w:iCs/>
          <w:color w:val="222222"/>
          <w:shd w:val="clear" w:color="auto" w:fill="FFFFFF"/>
          <w:lang w:val="pl-PL"/>
        </w:rPr>
        <w:t xml:space="preserve">Chem. Lett.  </w:t>
      </w:r>
      <w:r w:rsidRPr="00443A8D">
        <w:rPr>
          <w:rFonts w:eastAsia="Times New Roman" w:cstheme="majorBidi"/>
          <w:b/>
          <w:bCs/>
          <w:color w:val="222222"/>
          <w:shd w:val="clear" w:color="auto" w:fill="FFFFFF"/>
          <w:lang w:val="pl-PL"/>
        </w:rPr>
        <w:t>2012</w:t>
      </w:r>
      <w:r w:rsidRPr="00443A8D">
        <w:rPr>
          <w:rFonts w:eastAsia="Times New Roman" w:cstheme="majorBidi"/>
          <w:color w:val="222222"/>
          <w:shd w:val="clear" w:color="auto" w:fill="FFFFFF"/>
          <w:lang w:val="pl-PL"/>
        </w:rPr>
        <w:t>, </w:t>
      </w:r>
      <w:r w:rsidRPr="00443A8D">
        <w:rPr>
          <w:rFonts w:eastAsia="Times New Roman" w:cstheme="majorBidi"/>
          <w:i/>
          <w:iCs/>
          <w:color w:val="222222"/>
          <w:lang w:val="pl-PL"/>
        </w:rPr>
        <w:t>3</w:t>
      </w:r>
      <w:r w:rsidRPr="00443A8D">
        <w:rPr>
          <w:rFonts w:eastAsia="Times New Roman" w:cstheme="majorBidi"/>
          <w:color w:val="222222"/>
          <w:shd w:val="clear" w:color="auto" w:fill="FFFFFF"/>
          <w:lang w:val="pl-PL"/>
        </w:rPr>
        <w:t>, 2719-2723.</w:t>
      </w:r>
    </w:p>
  </w:endnote>
  <w:endnote w:id="26">
    <w:p w14:paraId="54D50E5E" w14:textId="45894F5E" w:rsidR="004327C7" w:rsidRPr="00443A8D" w:rsidRDefault="004327C7" w:rsidP="00880429">
      <w:pPr>
        <w:pStyle w:val="Eindnoottekst"/>
        <w:spacing w:line="480" w:lineRule="auto"/>
        <w:rPr>
          <w:lang w:val="de-DE"/>
        </w:rPr>
      </w:pPr>
      <w:r w:rsidRPr="00443A8D">
        <w:rPr>
          <w:rStyle w:val="Eindnootmarkering"/>
        </w:rPr>
        <w:endnoteRef/>
      </w:r>
      <w:r w:rsidRPr="00443A8D">
        <w:rPr>
          <w:lang w:val="pl-PL"/>
        </w:rPr>
        <w:t xml:space="preserve"> </w:t>
      </w:r>
      <w:r w:rsidRPr="00443A8D">
        <w:rPr>
          <w:rFonts w:eastAsia="Times New Roman" w:cstheme="majorBidi"/>
          <w:color w:val="222222"/>
          <w:shd w:val="clear" w:color="auto" w:fill="FFFFFF"/>
          <w:lang w:val="pl-PL"/>
        </w:rPr>
        <w:t xml:space="preserve">Minami, T.; Ito, S.; Nakano, M. </w:t>
      </w:r>
      <w:r w:rsidRPr="00443A8D">
        <w:rPr>
          <w:rFonts w:eastAsia="Times New Roman" w:cstheme="majorBidi"/>
          <w:i/>
          <w:iCs/>
          <w:color w:val="222222"/>
          <w:shd w:val="clear" w:color="auto" w:fill="FFFFFF"/>
          <w:lang w:val="pl-PL"/>
        </w:rPr>
        <w:t xml:space="preserve">J. Phys. </w:t>
      </w:r>
      <w:r w:rsidRPr="00443A8D">
        <w:rPr>
          <w:rFonts w:eastAsia="Times New Roman" w:cstheme="majorBidi"/>
          <w:i/>
          <w:iCs/>
          <w:color w:val="222222"/>
          <w:shd w:val="clear" w:color="auto" w:fill="FFFFFF"/>
          <w:lang w:val="de-DE"/>
        </w:rPr>
        <w:t xml:space="preserve">Chem. Lett.  </w:t>
      </w:r>
      <w:r w:rsidRPr="00443A8D">
        <w:rPr>
          <w:rFonts w:eastAsia="Times New Roman" w:cstheme="majorBidi"/>
          <w:b/>
          <w:bCs/>
          <w:color w:val="222222"/>
          <w:shd w:val="clear" w:color="auto" w:fill="FFFFFF"/>
          <w:lang w:val="de-DE"/>
        </w:rPr>
        <w:t>2013</w:t>
      </w:r>
      <w:r w:rsidRPr="00443A8D">
        <w:rPr>
          <w:rFonts w:eastAsia="Times New Roman" w:cstheme="majorBidi"/>
          <w:color w:val="222222"/>
          <w:shd w:val="clear" w:color="auto" w:fill="FFFFFF"/>
          <w:lang w:val="de-DE"/>
        </w:rPr>
        <w:t>, </w:t>
      </w:r>
      <w:r w:rsidRPr="00443A8D">
        <w:rPr>
          <w:rFonts w:eastAsia="Times New Roman" w:cstheme="majorBidi"/>
          <w:i/>
          <w:iCs/>
          <w:color w:val="222222"/>
          <w:lang w:val="de-DE"/>
        </w:rPr>
        <w:t>4</w:t>
      </w:r>
      <w:r w:rsidRPr="00443A8D">
        <w:rPr>
          <w:rFonts w:eastAsia="Times New Roman" w:cstheme="majorBidi"/>
          <w:color w:val="222222"/>
          <w:shd w:val="clear" w:color="auto" w:fill="FFFFFF"/>
          <w:lang w:val="de-DE"/>
        </w:rPr>
        <w:t>, 2133-2137.</w:t>
      </w:r>
    </w:p>
  </w:endnote>
  <w:endnote w:id="27">
    <w:p w14:paraId="10E6E389" w14:textId="3FB6AC94" w:rsidR="004327C7" w:rsidRPr="00443A8D" w:rsidRDefault="004327C7" w:rsidP="00880429">
      <w:pPr>
        <w:pStyle w:val="Eindnoottekst"/>
        <w:spacing w:line="480" w:lineRule="auto"/>
        <w:rPr>
          <w:lang w:val="de-DE"/>
        </w:rPr>
      </w:pPr>
      <w:r w:rsidRPr="00443A8D">
        <w:rPr>
          <w:rStyle w:val="Eindnootmarkering"/>
        </w:rPr>
        <w:endnoteRef/>
      </w:r>
      <w:r w:rsidRPr="00443A8D">
        <w:rPr>
          <w:lang w:val="de-DE"/>
        </w:rPr>
        <w:t xml:space="preserve"> </w:t>
      </w:r>
      <w:r w:rsidRPr="00443A8D">
        <w:rPr>
          <w:rFonts w:eastAsia="Times New Roman" w:cstheme="majorBidi"/>
          <w:color w:val="222222"/>
          <w:shd w:val="clear" w:color="auto" w:fill="FFFFFF"/>
          <w:lang w:val="de-DE"/>
        </w:rPr>
        <w:t>Hachmann, J.; Dorando, J. J.; Avilés, M.; Chan, G. K. L. </w:t>
      </w:r>
      <w:r w:rsidRPr="00443A8D">
        <w:rPr>
          <w:rFonts w:eastAsia="Times New Roman" w:cstheme="majorBidi"/>
          <w:lang w:val="de-DE"/>
        </w:rPr>
        <w:t xml:space="preserve"> </w:t>
      </w:r>
      <w:r w:rsidRPr="00443A8D">
        <w:rPr>
          <w:rFonts w:eastAsia="Times New Roman" w:cstheme="majorBidi"/>
          <w:i/>
          <w:iCs/>
          <w:color w:val="222222"/>
          <w:lang w:val="de-DE"/>
        </w:rPr>
        <w:t xml:space="preserve">J. Chem. Phys. </w:t>
      </w:r>
      <w:r w:rsidRPr="00443A8D">
        <w:rPr>
          <w:rFonts w:eastAsia="Times New Roman" w:cstheme="majorBidi"/>
          <w:b/>
          <w:bCs/>
          <w:color w:val="222222"/>
          <w:lang w:val="de-DE"/>
        </w:rPr>
        <w:t>2007</w:t>
      </w:r>
      <w:r w:rsidRPr="00443A8D">
        <w:rPr>
          <w:rFonts w:eastAsia="Times New Roman" w:cstheme="majorBidi"/>
          <w:color w:val="222222"/>
          <w:shd w:val="clear" w:color="auto" w:fill="FFFFFF"/>
          <w:lang w:val="de-DE"/>
        </w:rPr>
        <w:t>, </w:t>
      </w:r>
      <w:r w:rsidRPr="00443A8D">
        <w:rPr>
          <w:rFonts w:eastAsia="Times New Roman" w:cstheme="majorBidi"/>
          <w:i/>
          <w:iCs/>
          <w:color w:val="222222"/>
          <w:lang w:val="de-DE"/>
        </w:rPr>
        <w:t>127</w:t>
      </w:r>
      <w:r w:rsidRPr="00443A8D">
        <w:rPr>
          <w:rFonts w:eastAsia="Times New Roman" w:cstheme="majorBidi"/>
          <w:color w:val="222222"/>
          <w:shd w:val="clear" w:color="auto" w:fill="FFFFFF"/>
          <w:lang w:val="de-DE"/>
        </w:rPr>
        <w:t>, 134309.</w:t>
      </w:r>
    </w:p>
  </w:endnote>
  <w:endnote w:id="28">
    <w:p w14:paraId="64878C81" w14:textId="77777777" w:rsidR="004327C7" w:rsidRPr="00443A8D" w:rsidRDefault="004327C7" w:rsidP="00880429">
      <w:pPr>
        <w:pStyle w:val="Eindnoottekst"/>
        <w:spacing w:line="480" w:lineRule="auto"/>
        <w:rPr>
          <w:lang w:val="de-DE"/>
        </w:rPr>
      </w:pPr>
      <w:r w:rsidRPr="00443A8D">
        <w:rPr>
          <w:rStyle w:val="Eindnootmarkering"/>
        </w:rPr>
        <w:endnoteRef/>
      </w:r>
      <w:r w:rsidRPr="00443A8D">
        <w:rPr>
          <w:lang w:val="de-DE"/>
        </w:rPr>
        <w:t xml:space="preserve"> Murakami, M.; Yohimura, S. </w:t>
      </w:r>
      <w:r w:rsidRPr="00443A8D">
        <w:rPr>
          <w:i/>
          <w:iCs/>
          <w:lang w:val="de-DE"/>
        </w:rPr>
        <w:t>J. Chem. Soc. Chem. Commun.</w:t>
      </w:r>
      <w:r w:rsidRPr="00443A8D">
        <w:rPr>
          <w:lang w:val="de-DE"/>
        </w:rPr>
        <w:t xml:space="preserve"> </w:t>
      </w:r>
      <w:r w:rsidRPr="00443A8D">
        <w:rPr>
          <w:b/>
          <w:bCs/>
          <w:lang w:val="de-DE"/>
        </w:rPr>
        <w:t>1984</w:t>
      </w:r>
      <w:r w:rsidRPr="00443A8D">
        <w:rPr>
          <w:lang w:val="de-DE"/>
        </w:rPr>
        <w:t xml:space="preserve">, </w:t>
      </w:r>
      <w:r w:rsidRPr="00443A8D">
        <w:rPr>
          <w:i/>
          <w:iCs/>
          <w:lang w:val="de-DE"/>
        </w:rPr>
        <w:t>24</w:t>
      </w:r>
      <w:r w:rsidRPr="00443A8D">
        <w:rPr>
          <w:lang w:val="de-DE"/>
        </w:rPr>
        <w:t>, 1649-1650.</w:t>
      </w:r>
    </w:p>
  </w:endnote>
  <w:endnote w:id="29">
    <w:p w14:paraId="3F261C29" w14:textId="77777777" w:rsidR="004327C7" w:rsidRPr="00443A8D" w:rsidRDefault="004327C7" w:rsidP="00880429">
      <w:pPr>
        <w:pStyle w:val="Eindnoottekst"/>
        <w:spacing w:line="480" w:lineRule="auto"/>
        <w:rPr>
          <w:lang w:val="de-DE"/>
        </w:rPr>
      </w:pPr>
      <w:r w:rsidRPr="00443A8D">
        <w:rPr>
          <w:rStyle w:val="Eindnootmarkering"/>
        </w:rPr>
        <w:endnoteRef/>
      </w:r>
      <w:r w:rsidRPr="00443A8D">
        <w:rPr>
          <w:lang w:val="de-DE"/>
        </w:rPr>
        <w:t xml:space="preserve"> Iqbal, Z.; Ivory, D. M.; Marti, J.; Brédas, J. L.; Baughman, R. H. </w:t>
      </w:r>
      <w:r w:rsidRPr="00443A8D">
        <w:rPr>
          <w:i/>
          <w:iCs/>
          <w:lang w:val="de-DE"/>
        </w:rPr>
        <w:t xml:space="preserve">Mol. Cryst. Liq. Cryst. </w:t>
      </w:r>
      <w:r w:rsidRPr="00443A8D">
        <w:rPr>
          <w:b/>
          <w:bCs/>
          <w:lang w:val="de-DE"/>
        </w:rPr>
        <w:t>1985</w:t>
      </w:r>
      <w:r w:rsidRPr="00443A8D">
        <w:rPr>
          <w:lang w:val="de-DE"/>
        </w:rPr>
        <w:t xml:space="preserve">, </w:t>
      </w:r>
      <w:r w:rsidRPr="00443A8D">
        <w:rPr>
          <w:i/>
          <w:iCs/>
          <w:lang w:val="de-DE"/>
        </w:rPr>
        <w:t>118</w:t>
      </w:r>
      <w:r w:rsidRPr="00443A8D">
        <w:rPr>
          <w:lang w:val="de-DE"/>
        </w:rPr>
        <w:t>, 103-109.</w:t>
      </w:r>
    </w:p>
  </w:endnote>
  <w:endnote w:id="30">
    <w:p w14:paraId="0156D26E" w14:textId="0546F7C9" w:rsidR="004327C7" w:rsidRPr="000802F5" w:rsidRDefault="004327C7" w:rsidP="00880429">
      <w:pPr>
        <w:pStyle w:val="Eindnoottekst"/>
        <w:spacing w:line="480" w:lineRule="auto"/>
        <w:rPr>
          <w:lang w:val="de-DE"/>
        </w:rPr>
      </w:pPr>
      <w:r>
        <w:rPr>
          <w:rStyle w:val="Eindnootmarkering"/>
        </w:rPr>
        <w:endnoteRef/>
      </w:r>
      <w:r w:rsidRPr="000802F5">
        <w:rPr>
          <w:lang w:val="de-DE"/>
        </w:rPr>
        <w:t xml:space="preserve"> Brockmann, H.; Randebrock, R. </w:t>
      </w:r>
      <w:r>
        <w:rPr>
          <w:i/>
          <w:iCs/>
          <w:lang w:val="de-DE"/>
        </w:rPr>
        <w:t>Chem. Ber.</w:t>
      </w:r>
      <w:r>
        <w:rPr>
          <w:lang w:val="de-DE"/>
        </w:rPr>
        <w:t xml:space="preserve"> </w:t>
      </w:r>
      <w:r>
        <w:rPr>
          <w:b/>
          <w:bCs/>
          <w:lang w:val="de-DE"/>
        </w:rPr>
        <w:t>1951</w:t>
      </w:r>
      <w:r>
        <w:rPr>
          <w:lang w:val="de-DE"/>
        </w:rPr>
        <w:t xml:space="preserve">, </w:t>
      </w:r>
      <w:r>
        <w:rPr>
          <w:i/>
          <w:iCs/>
          <w:lang w:val="de-DE"/>
        </w:rPr>
        <w:t>84</w:t>
      </w:r>
      <w:r>
        <w:rPr>
          <w:lang w:val="de-DE"/>
        </w:rPr>
        <w:t>, 533-545.</w:t>
      </w:r>
      <w:r w:rsidRPr="000802F5">
        <w:rPr>
          <w:lang w:val="de-DE"/>
        </w:rPr>
        <w:t xml:space="preserve"> </w:t>
      </w:r>
    </w:p>
  </w:endnote>
  <w:endnote w:id="31">
    <w:p w14:paraId="1D44E08A" w14:textId="659C7E9D" w:rsidR="004327C7" w:rsidRPr="008E54C1" w:rsidRDefault="004327C7" w:rsidP="00880429">
      <w:pPr>
        <w:pStyle w:val="Eindnoottekst"/>
        <w:spacing w:line="480" w:lineRule="auto"/>
        <w:rPr>
          <w:lang w:val="de-DE"/>
        </w:rPr>
      </w:pPr>
      <w:r>
        <w:rPr>
          <w:rStyle w:val="Eindnootmarkering"/>
        </w:rPr>
        <w:endnoteRef/>
      </w:r>
      <w:r w:rsidRPr="008E54C1">
        <w:rPr>
          <w:lang w:val="de-DE"/>
        </w:rPr>
        <w:t xml:space="preserve"> </w:t>
      </w:r>
      <w:r>
        <w:rPr>
          <w:lang w:val="de-DE"/>
        </w:rPr>
        <w:t xml:space="preserve">Kuroda, H. </w:t>
      </w:r>
      <w:r>
        <w:rPr>
          <w:i/>
          <w:iCs/>
          <w:lang w:val="de-DE"/>
        </w:rPr>
        <w:t xml:space="preserve">J. Chem. Phys. </w:t>
      </w:r>
      <w:r>
        <w:rPr>
          <w:b/>
          <w:bCs/>
          <w:lang w:val="de-DE"/>
        </w:rPr>
        <w:t>1960</w:t>
      </w:r>
      <w:r>
        <w:rPr>
          <w:lang w:val="de-DE"/>
        </w:rPr>
        <w:t xml:space="preserve">, </w:t>
      </w:r>
      <w:r>
        <w:rPr>
          <w:i/>
          <w:iCs/>
          <w:lang w:val="de-DE"/>
        </w:rPr>
        <w:t>33</w:t>
      </w:r>
      <w:r>
        <w:rPr>
          <w:lang w:val="de-DE"/>
        </w:rPr>
        <w:t>, 1586-1587.</w:t>
      </w:r>
    </w:p>
  </w:endnote>
  <w:endnote w:id="32">
    <w:p w14:paraId="3FD25D6A" w14:textId="2CE3E2F5" w:rsidR="004327C7" w:rsidRPr="008E54C1" w:rsidRDefault="004327C7" w:rsidP="00880429">
      <w:pPr>
        <w:pStyle w:val="Eindnoottekst"/>
        <w:spacing w:line="480" w:lineRule="auto"/>
        <w:rPr>
          <w:lang w:val="de-DE"/>
        </w:rPr>
      </w:pPr>
      <w:r>
        <w:rPr>
          <w:rStyle w:val="Eindnootmarkering"/>
        </w:rPr>
        <w:endnoteRef/>
      </w:r>
      <w:r w:rsidRPr="008E54C1">
        <w:rPr>
          <w:lang w:val="de-DE"/>
        </w:rPr>
        <w:t xml:space="preserve"> </w:t>
      </w:r>
      <w:r>
        <w:rPr>
          <w:lang w:val="de-DE"/>
        </w:rPr>
        <w:t xml:space="preserve">Clar, E.; Schmidt, W. </w:t>
      </w:r>
      <w:r>
        <w:rPr>
          <w:i/>
          <w:iCs/>
          <w:lang w:val="de-DE"/>
        </w:rPr>
        <w:t>Tetrahedron</w:t>
      </w:r>
      <w:r>
        <w:rPr>
          <w:lang w:val="de-DE"/>
        </w:rPr>
        <w:t xml:space="preserve"> </w:t>
      </w:r>
      <w:r>
        <w:rPr>
          <w:b/>
          <w:bCs/>
          <w:lang w:val="de-DE"/>
        </w:rPr>
        <w:t>1977</w:t>
      </w:r>
      <w:r>
        <w:rPr>
          <w:lang w:val="de-DE"/>
        </w:rPr>
        <w:t xml:space="preserve">, </w:t>
      </w:r>
      <w:r>
        <w:rPr>
          <w:i/>
          <w:iCs/>
          <w:lang w:val="de-DE"/>
        </w:rPr>
        <w:t>33</w:t>
      </w:r>
      <w:r>
        <w:rPr>
          <w:lang w:val="de-DE"/>
        </w:rPr>
        <w:t>, 2093-2097.</w:t>
      </w:r>
    </w:p>
  </w:endnote>
  <w:endnote w:id="33">
    <w:p w14:paraId="314B0EE7" w14:textId="63271537" w:rsidR="004327C7" w:rsidRPr="00CF0B75" w:rsidRDefault="004327C7" w:rsidP="00880429">
      <w:pPr>
        <w:pStyle w:val="Eindnoottekst"/>
        <w:spacing w:line="480" w:lineRule="auto"/>
        <w:rPr>
          <w:lang w:val="pt-BR"/>
        </w:rPr>
      </w:pPr>
      <w:r>
        <w:rPr>
          <w:rStyle w:val="Eindnootmarkering"/>
        </w:rPr>
        <w:endnoteRef/>
      </w:r>
      <w:r w:rsidRPr="008E54C1">
        <w:rPr>
          <w:lang w:val="pt-BR"/>
        </w:rPr>
        <w:t xml:space="preserve"> Arabei, S. M.; Pavich, T. A. </w:t>
      </w:r>
      <w:r w:rsidRPr="008E54C1">
        <w:rPr>
          <w:i/>
          <w:iCs/>
          <w:lang w:val="pt-BR"/>
        </w:rPr>
        <w:t>J. Appl. S</w:t>
      </w:r>
      <w:r>
        <w:rPr>
          <w:i/>
          <w:iCs/>
          <w:lang w:val="pt-BR"/>
        </w:rPr>
        <w:t>pectrosc.</w:t>
      </w:r>
      <w:r>
        <w:rPr>
          <w:lang w:val="pt-BR"/>
        </w:rPr>
        <w:t xml:space="preserve"> </w:t>
      </w:r>
      <w:r>
        <w:rPr>
          <w:b/>
          <w:bCs/>
          <w:lang w:val="pt-BR"/>
        </w:rPr>
        <w:t>2000</w:t>
      </w:r>
      <w:r>
        <w:rPr>
          <w:lang w:val="pt-BR"/>
        </w:rPr>
        <w:t xml:space="preserve">, </w:t>
      </w:r>
      <w:r>
        <w:rPr>
          <w:i/>
          <w:iCs/>
          <w:lang w:val="pt-BR"/>
        </w:rPr>
        <w:t>67</w:t>
      </w:r>
      <w:r>
        <w:rPr>
          <w:lang w:val="pt-BR"/>
        </w:rPr>
        <w:t>, 236-244.</w:t>
      </w:r>
    </w:p>
  </w:endnote>
  <w:endnote w:id="34">
    <w:p w14:paraId="40D0C1D0" w14:textId="1093C198" w:rsidR="004327C7" w:rsidRPr="00880429" w:rsidRDefault="004327C7" w:rsidP="00880429">
      <w:pPr>
        <w:pStyle w:val="Eindnoottekst"/>
        <w:spacing w:line="480" w:lineRule="auto"/>
        <w:rPr>
          <w:lang w:val="pt-BR"/>
        </w:rPr>
      </w:pPr>
      <w:r>
        <w:rPr>
          <w:rStyle w:val="Eindnootmarkering"/>
        </w:rPr>
        <w:endnoteRef/>
      </w:r>
      <w:r w:rsidRPr="00880429">
        <w:rPr>
          <w:lang w:val="pt-BR"/>
        </w:rPr>
        <w:t xml:space="preserve"> D’yachenko, G. G.; Petukhoc, V. A.; Arabei, S. M.; Pavich, T. A. </w:t>
      </w:r>
      <w:r w:rsidRPr="00880429">
        <w:rPr>
          <w:i/>
          <w:iCs/>
          <w:lang w:val="pt-BR"/>
        </w:rPr>
        <w:t xml:space="preserve">J. Appl. </w:t>
      </w:r>
      <w:r>
        <w:rPr>
          <w:i/>
          <w:iCs/>
          <w:lang w:val="pt-BR"/>
        </w:rPr>
        <w:t xml:space="preserve">Spectrosc. </w:t>
      </w:r>
      <w:r>
        <w:rPr>
          <w:b/>
          <w:bCs/>
          <w:lang w:val="pt-BR"/>
        </w:rPr>
        <w:t>2003</w:t>
      </w:r>
      <w:r>
        <w:rPr>
          <w:lang w:val="pt-BR"/>
        </w:rPr>
        <w:t xml:space="preserve">, </w:t>
      </w:r>
      <w:r>
        <w:rPr>
          <w:i/>
          <w:iCs/>
          <w:lang w:val="pt-BR"/>
        </w:rPr>
        <w:t>70</w:t>
      </w:r>
      <w:r>
        <w:rPr>
          <w:lang w:val="pt-BR"/>
        </w:rPr>
        <w:t>, 208-2015.</w:t>
      </w:r>
    </w:p>
  </w:endnote>
  <w:endnote w:id="35">
    <w:p w14:paraId="70D23D8F" w14:textId="3D9ADAD7" w:rsidR="004327C7" w:rsidRPr="0067139C" w:rsidRDefault="004327C7" w:rsidP="00880429">
      <w:pPr>
        <w:pStyle w:val="Eindnoottekst"/>
        <w:spacing w:line="480" w:lineRule="auto"/>
        <w:rPr>
          <w:lang w:val="it-IT"/>
        </w:rPr>
      </w:pPr>
      <w:r w:rsidRPr="00443A8D">
        <w:rPr>
          <w:rStyle w:val="Eindnootmarkering"/>
        </w:rPr>
        <w:endnoteRef/>
      </w:r>
      <w:r w:rsidRPr="00CF0B75">
        <w:rPr>
          <w:lang w:val="pt-BR"/>
        </w:rPr>
        <w:t xml:space="preserve"> Hirao, Y.; Konishi, A.; Matsumoto, K.; Kurata, H.; Kubo, T. </w:t>
      </w:r>
      <w:r w:rsidRPr="00CF0B75">
        <w:rPr>
          <w:i/>
          <w:iCs/>
          <w:lang w:val="pt-BR"/>
        </w:rPr>
        <w:t>AIP</w:t>
      </w:r>
      <w:r w:rsidRPr="00CF0B75">
        <w:rPr>
          <w:lang w:val="pt-BR"/>
        </w:rPr>
        <w:t xml:space="preserve"> </w:t>
      </w:r>
      <w:r w:rsidRPr="00CF0B75">
        <w:rPr>
          <w:i/>
          <w:iCs/>
          <w:lang w:val="pt-BR"/>
        </w:rPr>
        <w:t xml:space="preserve">Conf. </w:t>
      </w:r>
      <w:r w:rsidRPr="0067139C">
        <w:rPr>
          <w:i/>
          <w:iCs/>
          <w:lang w:val="it-IT"/>
        </w:rPr>
        <w:t>Proc.</w:t>
      </w:r>
      <w:r w:rsidRPr="0067139C">
        <w:rPr>
          <w:lang w:val="it-IT"/>
        </w:rPr>
        <w:t xml:space="preserve"> </w:t>
      </w:r>
      <w:r w:rsidRPr="0067139C">
        <w:rPr>
          <w:b/>
          <w:bCs/>
          <w:lang w:val="it-IT"/>
        </w:rPr>
        <w:t>2012</w:t>
      </w:r>
      <w:r w:rsidRPr="0067139C">
        <w:rPr>
          <w:lang w:val="it-IT"/>
        </w:rPr>
        <w:t xml:space="preserve">, </w:t>
      </w:r>
      <w:r w:rsidRPr="0067139C">
        <w:rPr>
          <w:i/>
          <w:iCs/>
          <w:lang w:val="it-IT"/>
        </w:rPr>
        <w:t>863</w:t>
      </w:r>
      <w:r w:rsidRPr="0067139C">
        <w:rPr>
          <w:lang w:val="it-IT"/>
        </w:rPr>
        <w:t>, 863-866.</w:t>
      </w:r>
    </w:p>
  </w:endnote>
  <w:endnote w:id="36">
    <w:p w14:paraId="7F22D05B" w14:textId="73990E9C" w:rsidR="004327C7" w:rsidRPr="00414B91" w:rsidRDefault="004327C7" w:rsidP="00880429">
      <w:pPr>
        <w:pStyle w:val="Eindnoottekst"/>
        <w:spacing w:line="480" w:lineRule="auto"/>
      </w:pPr>
      <w:r w:rsidRPr="00443A8D">
        <w:rPr>
          <w:rStyle w:val="Eindnootmarkering"/>
        </w:rPr>
        <w:endnoteRef/>
      </w:r>
      <w:r w:rsidRPr="0067139C">
        <w:rPr>
          <w:lang w:val="it-IT"/>
        </w:rPr>
        <w:t xml:space="preserve"> Cutarolo, S.; Hart, G. L.; Nardelli, M. B.; Mingo, N.; Sanvito, S.; Levy, O. </w:t>
      </w:r>
      <w:r w:rsidRPr="0067139C">
        <w:rPr>
          <w:i/>
          <w:iCs/>
          <w:lang w:val="it-IT"/>
        </w:rPr>
        <w:t xml:space="preserve">Nature Mater. </w:t>
      </w:r>
      <w:r w:rsidRPr="0067139C">
        <w:rPr>
          <w:b/>
          <w:bCs/>
        </w:rPr>
        <w:t>2013</w:t>
      </w:r>
      <w:r w:rsidRPr="0067139C">
        <w:t xml:space="preserve">, </w:t>
      </w:r>
      <w:r w:rsidRPr="00414B91">
        <w:t>12, 191-201.</w:t>
      </w:r>
    </w:p>
  </w:endnote>
  <w:endnote w:id="37">
    <w:p w14:paraId="259F075E" w14:textId="1DAC2F6F" w:rsidR="004327C7" w:rsidRPr="00443A8D" w:rsidRDefault="004327C7" w:rsidP="00880429">
      <w:pPr>
        <w:pStyle w:val="Eindnoottekst"/>
        <w:spacing w:line="480" w:lineRule="auto"/>
      </w:pPr>
      <w:r w:rsidRPr="00443A8D">
        <w:rPr>
          <w:rStyle w:val="Eindnootmarkering"/>
        </w:rPr>
        <w:endnoteRef/>
      </w:r>
      <w:r w:rsidRPr="00414B91">
        <w:t xml:space="preserve"> Grimme, S.; Schreiner, P. R. </w:t>
      </w:r>
      <w:r w:rsidRPr="00414B91">
        <w:rPr>
          <w:i/>
          <w:iCs/>
        </w:rPr>
        <w:t xml:space="preserve">Angew. </w:t>
      </w:r>
      <w:r w:rsidRPr="00443A8D">
        <w:rPr>
          <w:i/>
          <w:iCs/>
        </w:rPr>
        <w:t xml:space="preserve">Chem., Int. Ed. </w:t>
      </w:r>
      <w:r w:rsidRPr="00443A8D">
        <w:rPr>
          <w:b/>
          <w:bCs/>
        </w:rPr>
        <w:t>2011</w:t>
      </w:r>
      <w:r w:rsidRPr="00443A8D">
        <w:t xml:space="preserve">, </w:t>
      </w:r>
      <w:r w:rsidRPr="00443A8D">
        <w:rPr>
          <w:i/>
          <w:iCs/>
        </w:rPr>
        <w:t>50</w:t>
      </w:r>
      <w:r w:rsidRPr="00443A8D">
        <w:t>, 12639-12642.</w:t>
      </w:r>
    </w:p>
  </w:endnote>
  <w:endnote w:id="38">
    <w:p w14:paraId="78EB170D" w14:textId="7C97F1AB" w:rsidR="004327C7" w:rsidRPr="00443A8D" w:rsidRDefault="004327C7" w:rsidP="00880429">
      <w:pPr>
        <w:pStyle w:val="Eindnoottekst"/>
        <w:spacing w:line="480" w:lineRule="auto"/>
      </w:pPr>
      <w:r w:rsidRPr="00443A8D">
        <w:rPr>
          <w:rStyle w:val="Eindnootmarkering"/>
        </w:rPr>
        <w:endnoteRef/>
      </w:r>
      <w:r w:rsidRPr="00443A8D">
        <w:t xml:space="preserve"> De Vleeschouwer, F.; Chankisjijev, A.; Yang, W.; Geerlings, P.; De Proft, F. </w:t>
      </w:r>
      <w:r w:rsidRPr="00443A8D">
        <w:rPr>
          <w:i/>
          <w:iCs/>
        </w:rPr>
        <w:t xml:space="preserve">J. Org. Chem. </w:t>
      </w:r>
      <w:r w:rsidRPr="00443A8D">
        <w:rPr>
          <w:b/>
          <w:bCs/>
        </w:rPr>
        <w:t>2013</w:t>
      </w:r>
      <w:r w:rsidRPr="00443A8D">
        <w:t xml:space="preserve">, </w:t>
      </w:r>
      <w:r w:rsidRPr="00443A8D">
        <w:rPr>
          <w:i/>
          <w:iCs/>
        </w:rPr>
        <w:t>78</w:t>
      </w:r>
      <w:r w:rsidRPr="00443A8D">
        <w:t>, 3151-3158.</w:t>
      </w:r>
    </w:p>
  </w:endnote>
  <w:endnote w:id="39">
    <w:p w14:paraId="34F5A01B" w14:textId="77777777" w:rsidR="004327C7" w:rsidRPr="00414B91" w:rsidRDefault="004327C7" w:rsidP="00880429">
      <w:pPr>
        <w:pStyle w:val="Eindnoottekst"/>
        <w:spacing w:line="480" w:lineRule="auto"/>
      </w:pPr>
      <w:r w:rsidRPr="00443A8D">
        <w:rPr>
          <w:rStyle w:val="Eindnootmarkering"/>
        </w:rPr>
        <w:endnoteRef/>
      </w:r>
      <w:r w:rsidRPr="00443A8D">
        <w:t xml:space="preserve"> De Vleeschouwer, F.; Chankisjijev, A.; Geerlings, P.; De Proft, F.  </w:t>
      </w:r>
      <w:r w:rsidRPr="00414B91">
        <w:rPr>
          <w:i/>
          <w:iCs/>
        </w:rPr>
        <w:t xml:space="preserve">Eur. J. Org. Chem. </w:t>
      </w:r>
      <w:r w:rsidRPr="00414B91">
        <w:rPr>
          <w:b/>
          <w:bCs/>
        </w:rPr>
        <w:t>2015</w:t>
      </w:r>
      <w:r w:rsidRPr="00414B91">
        <w:t xml:space="preserve">, </w:t>
      </w:r>
      <w:r w:rsidRPr="00414B91">
        <w:rPr>
          <w:i/>
          <w:iCs/>
        </w:rPr>
        <w:t>3</w:t>
      </w:r>
      <w:r w:rsidRPr="00414B91">
        <w:t>, 506-513.</w:t>
      </w:r>
    </w:p>
  </w:endnote>
  <w:endnote w:id="40">
    <w:p w14:paraId="4AA13766" w14:textId="3456CBA1" w:rsidR="004327C7" w:rsidRPr="00414B91" w:rsidRDefault="004327C7" w:rsidP="00880429">
      <w:pPr>
        <w:pStyle w:val="Eindnoottekst"/>
        <w:spacing w:line="480" w:lineRule="auto"/>
      </w:pPr>
      <w:r w:rsidRPr="00443A8D">
        <w:rPr>
          <w:rStyle w:val="Eindnootmarkering"/>
        </w:rPr>
        <w:endnoteRef/>
      </w:r>
      <w:r w:rsidRPr="00414B91">
        <w:t xml:space="preserve"> Tidwel, T. T. </w:t>
      </w:r>
      <w:r w:rsidRPr="00414B91">
        <w:rPr>
          <w:i/>
          <w:iCs/>
        </w:rPr>
        <w:t xml:space="preserve">Tetrahedron </w:t>
      </w:r>
      <w:r w:rsidRPr="00414B91">
        <w:rPr>
          <w:b/>
          <w:bCs/>
        </w:rPr>
        <w:t>1978</w:t>
      </w:r>
      <w:r w:rsidRPr="00414B91">
        <w:t xml:space="preserve">, </w:t>
      </w:r>
      <w:r w:rsidRPr="00414B91">
        <w:rPr>
          <w:i/>
          <w:iCs/>
        </w:rPr>
        <w:t>34</w:t>
      </w:r>
      <w:r w:rsidRPr="00414B91">
        <w:t>, 1855-1868.</w:t>
      </w:r>
    </w:p>
  </w:endnote>
  <w:endnote w:id="41">
    <w:p w14:paraId="40F14FC6" w14:textId="0F7F2E89" w:rsidR="004327C7" w:rsidRPr="0067139C" w:rsidRDefault="004327C7" w:rsidP="00880429">
      <w:pPr>
        <w:pStyle w:val="Eindnoottekst"/>
        <w:spacing w:line="480" w:lineRule="auto"/>
      </w:pPr>
      <w:r>
        <w:rPr>
          <w:rStyle w:val="Eindnootmarkering"/>
        </w:rPr>
        <w:endnoteRef/>
      </w:r>
      <w:r>
        <w:t xml:space="preserve"> </w:t>
      </w:r>
      <w:r w:rsidRPr="0067139C">
        <w:t xml:space="preserve">Akdag, A.; Havlas, Z.; Michl, J. </w:t>
      </w:r>
      <w:r w:rsidRPr="0067139C">
        <w:rPr>
          <w:i/>
        </w:rPr>
        <w:t>J. Am. Chem. Soc.</w:t>
      </w:r>
      <w:r w:rsidRPr="0067139C">
        <w:t xml:space="preserve"> </w:t>
      </w:r>
      <w:r w:rsidRPr="0067139C">
        <w:rPr>
          <w:b/>
        </w:rPr>
        <w:t>2012</w:t>
      </w:r>
      <w:r w:rsidRPr="0067139C">
        <w:t xml:space="preserve">, </w:t>
      </w:r>
      <w:r w:rsidRPr="0067139C">
        <w:rPr>
          <w:i/>
        </w:rPr>
        <w:t>134</w:t>
      </w:r>
      <w:r w:rsidRPr="0067139C">
        <w:t>, 14624-14631.</w:t>
      </w:r>
    </w:p>
  </w:endnote>
  <w:endnote w:id="42">
    <w:p w14:paraId="37D8FC6F" w14:textId="1D28EEB3" w:rsidR="004327C7" w:rsidRPr="00ED0DDC" w:rsidRDefault="004327C7" w:rsidP="00880429">
      <w:pPr>
        <w:pStyle w:val="Eindnoottekst"/>
        <w:spacing w:line="480" w:lineRule="auto"/>
        <w:rPr>
          <w:lang w:val="de-DE"/>
        </w:rPr>
      </w:pPr>
      <w:r>
        <w:rPr>
          <w:rStyle w:val="Eindnootmarkering"/>
        </w:rPr>
        <w:endnoteRef/>
      </w:r>
      <w:r w:rsidRPr="0067139C">
        <w:t xml:space="preserve"> Minami, T.; Nakano, M. </w:t>
      </w:r>
      <w:r w:rsidRPr="0067139C">
        <w:rPr>
          <w:i/>
        </w:rPr>
        <w:t xml:space="preserve">J. Phys. </w:t>
      </w:r>
      <w:r w:rsidRPr="00ED0DDC">
        <w:rPr>
          <w:i/>
          <w:lang w:val="de-DE"/>
        </w:rPr>
        <w:t>Chem. Lett.</w:t>
      </w:r>
      <w:r w:rsidRPr="00ED0DDC">
        <w:rPr>
          <w:lang w:val="de-DE"/>
        </w:rPr>
        <w:t xml:space="preserve"> </w:t>
      </w:r>
      <w:r w:rsidRPr="00ED0DDC">
        <w:rPr>
          <w:b/>
          <w:lang w:val="de-DE"/>
        </w:rPr>
        <w:t>2012</w:t>
      </w:r>
      <w:r w:rsidRPr="00ED0DDC">
        <w:rPr>
          <w:lang w:val="de-DE"/>
        </w:rPr>
        <w:t xml:space="preserve">, </w:t>
      </w:r>
      <w:r w:rsidRPr="00ED0DDC">
        <w:rPr>
          <w:i/>
          <w:lang w:val="de-DE"/>
        </w:rPr>
        <w:t>3</w:t>
      </w:r>
      <w:r w:rsidRPr="00ED0DDC">
        <w:rPr>
          <w:lang w:val="de-DE"/>
        </w:rPr>
        <w:t>, 145-150.</w:t>
      </w:r>
    </w:p>
  </w:endnote>
  <w:endnote w:id="43">
    <w:p w14:paraId="7800A8CC" w14:textId="4D7A60D4" w:rsidR="004327C7" w:rsidRPr="0067139C" w:rsidRDefault="004327C7" w:rsidP="00880429">
      <w:pPr>
        <w:pStyle w:val="Eindnoottekst"/>
        <w:spacing w:line="480" w:lineRule="auto"/>
        <w:rPr>
          <w:lang w:val="de-DE"/>
        </w:rPr>
      </w:pPr>
      <w:r w:rsidRPr="00443A8D">
        <w:rPr>
          <w:rStyle w:val="Eindnootmarkering"/>
        </w:rPr>
        <w:endnoteRef/>
      </w:r>
      <w:r w:rsidRPr="00ED0DDC">
        <w:rPr>
          <w:lang w:val="de-DE"/>
        </w:rPr>
        <w:t xml:space="preserve"> Zeng, T.; Ananth, N.; Hoffmann, R. </w:t>
      </w:r>
      <w:r w:rsidRPr="00ED0DDC">
        <w:rPr>
          <w:i/>
          <w:lang w:val="de-DE"/>
        </w:rPr>
        <w:t xml:space="preserve">J. Am. </w:t>
      </w:r>
      <w:r w:rsidRPr="0067139C">
        <w:rPr>
          <w:i/>
          <w:lang w:val="de-DE"/>
        </w:rPr>
        <w:t>Chem. Soc.</w:t>
      </w:r>
      <w:r w:rsidRPr="0067139C">
        <w:rPr>
          <w:lang w:val="de-DE"/>
        </w:rPr>
        <w:t xml:space="preserve"> </w:t>
      </w:r>
      <w:r w:rsidRPr="0067139C">
        <w:rPr>
          <w:b/>
          <w:lang w:val="de-DE"/>
        </w:rPr>
        <w:t>2014</w:t>
      </w:r>
      <w:r w:rsidRPr="0067139C">
        <w:rPr>
          <w:lang w:val="de-DE"/>
        </w:rPr>
        <w:t xml:space="preserve">, </w:t>
      </w:r>
      <w:r w:rsidRPr="0067139C">
        <w:rPr>
          <w:i/>
          <w:lang w:val="de-DE"/>
        </w:rPr>
        <w:t>136</w:t>
      </w:r>
      <w:r w:rsidRPr="0067139C">
        <w:rPr>
          <w:lang w:val="de-DE"/>
        </w:rPr>
        <w:t xml:space="preserve">, 12638-12647. </w:t>
      </w:r>
    </w:p>
  </w:endnote>
  <w:endnote w:id="44">
    <w:p w14:paraId="3607FDE2" w14:textId="465A13F5" w:rsidR="004327C7" w:rsidRPr="00ED0DDC" w:rsidRDefault="004327C7" w:rsidP="00880429">
      <w:pPr>
        <w:pStyle w:val="Eindnoottekst"/>
        <w:spacing w:line="480" w:lineRule="auto"/>
        <w:rPr>
          <w:lang w:val="de-DE"/>
        </w:rPr>
      </w:pPr>
      <w:r>
        <w:rPr>
          <w:rStyle w:val="Eindnootmarkering"/>
        </w:rPr>
        <w:endnoteRef/>
      </w:r>
      <w:r w:rsidRPr="00ED0DDC">
        <w:rPr>
          <w:lang w:val="de-DE"/>
        </w:rPr>
        <w:t xml:space="preserve"> Wen, J.; Havlas, Z.; Michl, J. </w:t>
      </w:r>
      <w:r w:rsidRPr="00ED0DDC">
        <w:rPr>
          <w:i/>
          <w:lang w:val="de-DE"/>
        </w:rPr>
        <w:t>J. Am. Chem. Soc.</w:t>
      </w:r>
      <w:r w:rsidRPr="00ED0DDC">
        <w:rPr>
          <w:lang w:val="de-DE"/>
        </w:rPr>
        <w:t xml:space="preserve"> </w:t>
      </w:r>
      <w:r w:rsidRPr="00ED0DDC">
        <w:rPr>
          <w:b/>
          <w:lang w:val="de-DE"/>
        </w:rPr>
        <w:t>2015</w:t>
      </w:r>
      <w:r w:rsidRPr="00ED0DDC">
        <w:rPr>
          <w:lang w:val="de-DE"/>
        </w:rPr>
        <w:t xml:space="preserve">, </w:t>
      </w:r>
      <w:r w:rsidRPr="00ED0DDC">
        <w:rPr>
          <w:i/>
          <w:lang w:val="de-DE"/>
        </w:rPr>
        <w:t>137</w:t>
      </w:r>
      <w:r w:rsidRPr="00ED0DDC">
        <w:rPr>
          <w:lang w:val="de-DE"/>
        </w:rPr>
        <w:t>, 165-172.</w:t>
      </w:r>
    </w:p>
  </w:endnote>
  <w:endnote w:id="45">
    <w:p w14:paraId="08C25E95" w14:textId="08BC6A0F" w:rsidR="004327C7" w:rsidRPr="00ED0DDC" w:rsidRDefault="004327C7" w:rsidP="00880429">
      <w:pPr>
        <w:pStyle w:val="Eindnoottekst"/>
        <w:spacing w:line="480" w:lineRule="auto"/>
        <w:rPr>
          <w:lang w:val="de-DE"/>
        </w:rPr>
      </w:pPr>
      <w:r>
        <w:rPr>
          <w:rStyle w:val="Eindnootmarkering"/>
        </w:rPr>
        <w:endnoteRef/>
      </w:r>
      <w:r w:rsidRPr="00ED0DDC">
        <w:rPr>
          <w:lang w:val="de-DE"/>
        </w:rPr>
        <w:t xml:space="preserve"> Zeng, T.; Goel, P. </w:t>
      </w:r>
      <w:r w:rsidRPr="00ED0DDC">
        <w:rPr>
          <w:i/>
          <w:lang w:val="de-DE"/>
        </w:rPr>
        <w:t>J. Phys. Chem. Lett.</w:t>
      </w:r>
      <w:r w:rsidRPr="00ED0DDC">
        <w:rPr>
          <w:lang w:val="de-DE"/>
        </w:rPr>
        <w:t xml:space="preserve"> </w:t>
      </w:r>
      <w:r w:rsidRPr="00ED0DDC">
        <w:rPr>
          <w:b/>
          <w:lang w:val="de-DE"/>
        </w:rPr>
        <w:t>2016</w:t>
      </w:r>
      <w:r w:rsidRPr="00ED0DDC">
        <w:rPr>
          <w:lang w:val="de-DE"/>
        </w:rPr>
        <w:t xml:space="preserve">, </w:t>
      </w:r>
      <w:r w:rsidRPr="00ED0DDC">
        <w:rPr>
          <w:i/>
          <w:lang w:val="de-DE"/>
        </w:rPr>
        <w:t>7</w:t>
      </w:r>
      <w:r w:rsidRPr="00ED0DDC">
        <w:rPr>
          <w:lang w:val="de-DE"/>
        </w:rPr>
        <w:t>, 1351-1358.</w:t>
      </w:r>
    </w:p>
  </w:endnote>
  <w:endnote w:id="46">
    <w:p w14:paraId="3FBA329D" w14:textId="3F3D82F0" w:rsidR="004327C7" w:rsidRPr="00ED0DDC" w:rsidRDefault="004327C7" w:rsidP="00880429">
      <w:pPr>
        <w:pStyle w:val="Eindnoottekst"/>
        <w:spacing w:line="480" w:lineRule="auto"/>
        <w:rPr>
          <w:lang w:val="de-DE"/>
        </w:rPr>
      </w:pPr>
      <w:r>
        <w:rPr>
          <w:rStyle w:val="Eindnootmarkering"/>
        </w:rPr>
        <w:endnoteRef/>
      </w:r>
      <w:r w:rsidRPr="00ED0DDC">
        <w:rPr>
          <w:lang w:val="de-DE"/>
        </w:rPr>
        <w:t xml:space="preserve"> Zeng, T. </w:t>
      </w:r>
      <w:r w:rsidRPr="00ED0DDC">
        <w:rPr>
          <w:i/>
          <w:lang w:val="de-DE"/>
        </w:rPr>
        <w:t>J. Phys. Chem. Lett.</w:t>
      </w:r>
      <w:r w:rsidRPr="00ED0DDC">
        <w:rPr>
          <w:lang w:val="de-DE"/>
        </w:rPr>
        <w:t xml:space="preserve"> </w:t>
      </w:r>
      <w:r w:rsidRPr="00ED0DDC">
        <w:rPr>
          <w:b/>
          <w:lang w:val="de-DE"/>
        </w:rPr>
        <w:t>2016</w:t>
      </w:r>
      <w:r w:rsidRPr="00ED0DDC">
        <w:rPr>
          <w:lang w:val="de-DE"/>
        </w:rPr>
        <w:t xml:space="preserve">, </w:t>
      </w:r>
      <w:r w:rsidRPr="00ED0DDC">
        <w:rPr>
          <w:i/>
          <w:lang w:val="de-DE"/>
        </w:rPr>
        <w:t>7</w:t>
      </w:r>
      <w:r w:rsidRPr="00ED0DDC">
        <w:rPr>
          <w:lang w:val="de-DE"/>
        </w:rPr>
        <w:t>, 4405-4412.</w:t>
      </w:r>
    </w:p>
  </w:endnote>
  <w:endnote w:id="47">
    <w:p w14:paraId="276375A0" w14:textId="068F451A" w:rsidR="004327C7" w:rsidRPr="00ED0DDC" w:rsidRDefault="004327C7" w:rsidP="00880429">
      <w:pPr>
        <w:pStyle w:val="Eindnoottekst"/>
        <w:spacing w:line="480" w:lineRule="auto"/>
        <w:rPr>
          <w:lang w:val="de-DE"/>
        </w:rPr>
      </w:pPr>
      <w:r w:rsidRPr="00443A8D">
        <w:rPr>
          <w:rStyle w:val="Eindnootmarkering"/>
        </w:rPr>
        <w:endnoteRef/>
      </w:r>
      <w:r w:rsidRPr="00ED0DDC">
        <w:rPr>
          <w:lang w:val="de-DE"/>
        </w:rPr>
        <w:t xml:space="preserve"> Zeng, T.; Mellerup, S. K.; Yang, D.; Wang, X.; Wang, S.; Stamplecoskie, K. </w:t>
      </w:r>
      <w:r w:rsidRPr="00ED0DDC">
        <w:rPr>
          <w:i/>
          <w:lang w:val="de-DE"/>
        </w:rPr>
        <w:t>J. Phys. Chem. Lett.</w:t>
      </w:r>
      <w:r w:rsidRPr="00ED0DDC">
        <w:rPr>
          <w:lang w:val="de-DE"/>
        </w:rPr>
        <w:t xml:space="preserve"> </w:t>
      </w:r>
      <w:r w:rsidRPr="00ED0DDC">
        <w:rPr>
          <w:b/>
          <w:lang w:val="de-DE"/>
        </w:rPr>
        <w:t>2018</w:t>
      </w:r>
      <w:r w:rsidRPr="00ED0DDC">
        <w:rPr>
          <w:lang w:val="de-DE"/>
        </w:rPr>
        <w:t xml:space="preserve">, </w:t>
      </w:r>
      <w:r w:rsidRPr="00ED0DDC">
        <w:rPr>
          <w:i/>
          <w:lang w:val="de-DE"/>
        </w:rPr>
        <w:t>9</w:t>
      </w:r>
      <w:r w:rsidRPr="00ED0DDC">
        <w:rPr>
          <w:lang w:val="de-DE"/>
        </w:rPr>
        <w:t>, 2919-2927.</w:t>
      </w:r>
    </w:p>
  </w:endnote>
  <w:endnote w:id="48">
    <w:p w14:paraId="582F24C0" w14:textId="1996B4EC" w:rsidR="00570CB7" w:rsidRPr="0067139C" w:rsidRDefault="00570CB7">
      <w:pPr>
        <w:pStyle w:val="Eindnoottekst"/>
        <w:rPr>
          <w:lang w:val="de-DE"/>
        </w:rPr>
      </w:pPr>
      <w:r>
        <w:rPr>
          <w:rStyle w:val="Eindnootmarkering"/>
        </w:rPr>
        <w:endnoteRef/>
      </w:r>
      <w:r w:rsidRPr="0067139C">
        <w:rPr>
          <w:lang w:val="de-DE"/>
        </w:rPr>
        <w:t xml:space="preserve"> Japahuge, A.; Zeng, T. </w:t>
      </w:r>
      <w:r w:rsidRPr="0067139C">
        <w:rPr>
          <w:i/>
          <w:lang w:val="de-DE"/>
        </w:rPr>
        <w:t>ChemPlusChem</w:t>
      </w:r>
      <w:r w:rsidRPr="0067139C">
        <w:rPr>
          <w:lang w:val="de-DE"/>
        </w:rPr>
        <w:t xml:space="preserve"> </w:t>
      </w:r>
      <w:r w:rsidRPr="0067139C">
        <w:rPr>
          <w:b/>
          <w:lang w:val="de-DE"/>
        </w:rPr>
        <w:t>2018</w:t>
      </w:r>
      <w:r w:rsidRPr="0067139C">
        <w:rPr>
          <w:lang w:val="de-DE"/>
        </w:rPr>
        <w:t xml:space="preserve">, </w:t>
      </w:r>
      <w:r w:rsidRPr="0067139C">
        <w:rPr>
          <w:i/>
          <w:lang w:val="de-DE"/>
        </w:rPr>
        <w:t>83</w:t>
      </w:r>
      <w:r w:rsidRPr="0067139C">
        <w:rPr>
          <w:lang w:val="de-DE"/>
        </w:rPr>
        <w:t>, 146-182.</w:t>
      </w:r>
    </w:p>
    <w:p w14:paraId="451C1E84" w14:textId="77777777" w:rsidR="00761463" w:rsidRPr="0067139C" w:rsidRDefault="00761463">
      <w:pPr>
        <w:pStyle w:val="Eindnoottekst"/>
        <w:rPr>
          <w:lang w:val="de-DE"/>
        </w:rPr>
      </w:pPr>
    </w:p>
  </w:endnote>
  <w:endnote w:id="49">
    <w:p w14:paraId="2F9BA3C7" w14:textId="6AE1830C" w:rsidR="004327C7" w:rsidRPr="00ED0DDC" w:rsidRDefault="004327C7" w:rsidP="00880429">
      <w:pPr>
        <w:spacing w:line="480" w:lineRule="auto"/>
        <w:rPr>
          <w:rFonts w:eastAsia="Times New Roman" w:cstheme="majorBidi"/>
          <w:lang w:val="de-DE"/>
        </w:rPr>
      </w:pPr>
      <w:r w:rsidRPr="00443A8D">
        <w:rPr>
          <w:rStyle w:val="Eindnootmarkering"/>
          <w:rFonts w:cstheme="majorBidi"/>
        </w:rPr>
        <w:endnoteRef/>
      </w:r>
      <w:r w:rsidRPr="00ED0DDC">
        <w:rPr>
          <w:rFonts w:cstheme="majorBidi"/>
          <w:lang w:val="de-DE"/>
        </w:rPr>
        <w:t xml:space="preserve"> C. Herrmann, G. C. Solomon, J. E. Subotnik, V. Mujica, M. A. Ratner, </w:t>
      </w:r>
      <w:r w:rsidRPr="00ED0DDC">
        <w:rPr>
          <w:rFonts w:cstheme="majorBidi"/>
          <w:i/>
          <w:lang w:val="de-DE"/>
        </w:rPr>
        <w:t xml:space="preserve">J. Chem. Phys. </w:t>
      </w:r>
      <w:r w:rsidRPr="00ED0DDC">
        <w:rPr>
          <w:rFonts w:cstheme="majorBidi"/>
          <w:b/>
          <w:bCs/>
          <w:iCs/>
          <w:lang w:val="de-DE"/>
        </w:rPr>
        <w:t>2010</w:t>
      </w:r>
      <w:r w:rsidRPr="00ED0DDC">
        <w:rPr>
          <w:rFonts w:cstheme="majorBidi"/>
          <w:i/>
          <w:lang w:val="de-DE"/>
        </w:rPr>
        <w:t xml:space="preserve">, </w:t>
      </w:r>
      <w:r w:rsidRPr="00ED0DDC">
        <w:rPr>
          <w:rFonts w:cstheme="majorBidi"/>
          <w:bCs/>
          <w:i/>
          <w:iCs/>
          <w:lang w:val="de-DE"/>
        </w:rPr>
        <w:t>132</w:t>
      </w:r>
      <w:r w:rsidRPr="00ED0DDC">
        <w:rPr>
          <w:rFonts w:cstheme="majorBidi"/>
          <w:lang w:val="de-DE"/>
        </w:rPr>
        <w:t>, 024103.</w:t>
      </w:r>
    </w:p>
  </w:endnote>
  <w:endnote w:id="50">
    <w:p w14:paraId="00E6C743" w14:textId="77777777" w:rsidR="004327C7" w:rsidRPr="00ED0DDC" w:rsidRDefault="004327C7" w:rsidP="00880429">
      <w:pPr>
        <w:pStyle w:val="Eindnoottekst"/>
        <w:spacing w:line="480" w:lineRule="auto"/>
        <w:jc w:val="both"/>
        <w:rPr>
          <w:rFonts w:cstheme="majorBidi"/>
          <w:lang w:val="de-DE"/>
        </w:rPr>
      </w:pPr>
      <w:r w:rsidRPr="00443A8D">
        <w:rPr>
          <w:rStyle w:val="Eindnootmarkering"/>
          <w:rFonts w:cstheme="majorBidi"/>
        </w:rPr>
        <w:endnoteRef/>
      </w:r>
      <w:r w:rsidRPr="00ED0DDC">
        <w:rPr>
          <w:rFonts w:cstheme="majorBidi"/>
          <w:lang w:val="de-DE"/>
        </w:rPr>
        <w:t xml:space="preserve"> Deffner, M.; Groß, L.; Steenbock, T.; Voigt, B. A.; Solomon, G. C.; Herrmann, C. Artaios — a Code for Postprocessing Quantum Chemical Electronic Structure Calculations, available from https://www.chemie.uni-hamburg.de/ac/herrmann/software/index.html (2008-2017).</w:t>
      </w:r>
      <w:r w:rsidRPr="00ED0DDC" w:rsidDel="002236CE">
        <w:rPr>
          <w:rFonts w:cstheme="majorBidi"/>
          <w:lang w:val="de-DE"/>
        </w:rPr>
        <w:t xml:space="preserve"> </w:t>
      </w:r>
    </w:p>
  </w:endnote>
  <w:endnote w:id="51">
    <w:p w14:paraId="30771122" w14:textId="77777777" w:rsidR="004327C7" w:rsidRPr="00ED0DDC" w:rsidRDefault="004327C7" w:rsidP="00880429">
      <w:pPr>
        <w:pStyle w:val="Eindnoottekst"/>
        <w:spacing w:line="480" w:lineRule="auto"/>
        <w:jc w:val="both"/>
        <w:rPr>
          <w:rFonts w:cstheme="majorBidi"/>
          <w:lang w:val="de-DE"/>
        </w:rPr>
      </w:pPr>
      <w:r w:rsidRPr="00443A8D">
        <w:rPr>
          <w:rStyle w:val="Eindnootmarkering"/>
          <w:rFonts w:cstheme="majorBidi"/>
        </w:rPr>
        <w:endnoteRef/>
      </w:r>
      <w:r w:rsidRPr="00ED0DDC">
        <w:rPr>
          <w:rFonts w:cstheme="majorBidi"/>
          <w:lang w:val="de-DE"/>
        </w:rPr>
        <w:t xml:space="preserve"> </w:t>
      </w:r>
      <w:r w:rsidRPr="00ED0DDC">
        <w:rPr>
          <w:rFonts w:cstheme="majorBidi"/>
          <w:noProof/>
          <w:lang w:val="de-DE"/>
        </w:rPr>
        <w:t>Frisch</w:t>
      </w:r>
      <w:r w:rsidRPr="00ED0DDC">
        <w:rPr>
          <w:rFonts w:cstheme="majorBidi"/>
          <w:lang w:val="de-DE"/>
        </w:rPr>
        <w:t xml:space="preserve">, M. J.; Trucks, G. W.; Schlegel, H. B.; Scuseria, G. E.; Robb, M. A.; Cheeseman, J. R.; Scalmani, G.; Barone, V.; Mennucci, B.; Petersson, G. A.; et al. </w:t>
      </w:r>
      <w:r w:rsidRPr="00ED0DDC">
        <w:rPr>
          <w:rFonts w:cstheme="majorBidi"/>
          <w:i/>
          <w:lang w:val="de-DE"/>
        </w:rPr>
        <w:t>Gaussian 09, Revision D.01</w:t>
      </w:r>
      <w:r w:rsidRPr="00ED0DDC">
        <w:rPr>
          <w:rFonts w:cstheme="majorBidi"/>
          <w:lang w:val="de-DE"/>
        </w:rPr>
        <w:t xml:space="preserve">, Gaussian, Inc., Wallingford CT, </w:t>
      </w:r>
      <w:r w:rsidRPr="00ED0DDC">
        <w:rPr>
          <w:rFonts w:cstheme="majorBidi"/>
          <w:b/>
          <w:lang w:val="de-DE"/>
        </w:rPr>
        <w:t>2009</w:t>
      </w:r>
      <w:r w:rsidRPr="00ED0DDC">
        <w:rPr>
          <w:rFonts w:cstheme="majorBidi"/>
          <w:lang w:val="de-DE"/>
        </w:rPr>
        <w:t>.</w:t>
      </w:r>
    </w:p>
  </w:endnote>
  <w:endnote w:id="52">
    <w:p w14:paraId="1943E8C6" w14:textId="57DE33F9" w:rsidR="004327C7" w:rsidRPr="00ED0DDC" w:rsidRDefault="004327C7" w:rsidP="00880429">
      <w:pPr>
        <w:pStyle w:val="Eindnoottekst"/>
        <w:spacing w:line="480" w:lineRule="auto"/>
        <w:rPr>
          <w:lang w:val="de-DE" w:eastAsia="ja-JP"/>
        </w:rPr>
      </w:pPr>
      <w:r w:rsidRPr="00443A8D">
        <w:rPr>
          <w:rStyle w:val="Eindnootmarkering"/>
        </w:rPr>
        <w:endnoteRef/>
      </w:r>
      <w:r w:rsidRPr="00ED0DDC">
        <w:rPr>
          <w:lang w:val="de-DE"/>
        </w:rPr>
        <w:t xml:space="preserve"> </w:t>
      </w:r>
      <w:r w:rsidRPr="00ED0DDC">
        <w:rPr>
          <w:rFonts w:eastAsia="Times New Roman" w:cs="Arial"/>
          <w:color w:val="222222"/>
          <w:shd w:val="clear" w:color="auto" w:fill="FFFFFF"/>
          <w:lang w:val="de-DE"/>
        </w:rPr>
        <w:t xml:space="preserve">Schlicke, H.; Herrmann, C. </w:t>
      </w:r>
      <w:r w:rsidRPr="00ED0DDC">
        <w:rPr>
          <w:rFonts w:eastAsia="Times New Roman" w:cs="Arial"/>
          <w:i/>
          <w:iCs/>
          <w:color w:val="222222"/>
          <w:lang w:val="de-DE"/>
        </w:rPr>
        <w:t xml:space="preserve">ChemPhysChem </w:t>
      </w:r>
      <w:r w:rsidRPr="00ED0DDC">
        <w:rPr>
          <w:rFonts w:eastAsia="Times New Roman" w:cs="Arial"/>
          <w:b/>
          <w:bCs/>
          <w:color w:val="222222"/>
          <w:lang w:val="de-DE"/>
        </w:rPr>
        <w:t>2014</w:t>
      </w:r>
      <w:r w:rsidRPr="00ED0DDC">
        <w:rPr>
          <w:rFonts w:eastAsia="Times New Roman" w:cs="Arial"/>
          <w:color w:val="222222"/>
          <w:shd w:val="clear" w:color="auto" w:fill="FFFFFF"/>
          <w:lang w:val="de-DE"/>
        </w:rPr>
        <w:t>,</w:t>
      </w:r>
      <w:r w:rsidRPr="00ED0DDC">
        <w:rPr>
          <w:rStyle w:val="apple-converted-space"/>
          <w:rFonts w:eastAsia="Times New Roman" w:cs="Arial"/>
          <w:color w:val="222222"/>
          <w:shd w:val="clear" w:color="auto" w:fill="FFFFFF"/>
          <w:lang w:val="de-DE"/>
        </w:rPr>
        <w:t> </w:t>
      </w:r>
      <w:r w:rsidRPr="00ED0DDC">
        <w:rPr>
          <w:rFonts w:eastAsia="Times New Roman" w:cs="Arial"/>
          <w:i/>
          <w:iCs/>
          <w:color w:val="222222"/>
          <w:lang w:val="de-DE"/>
        </w:rPr>
        <w:t>15</w:t>
      </w:r>
      <w:r w:rsidRPr="00ED0DDC">
        <w:rPr>
          <w:rFonts w:eastAsia="Times New Roman" w:cs="Arial"/>
          <w:color w:val="222222"/>
          <w:shd w:val="clear" w:color="auto" w:fill="FFFFFF"/>
          <w:lang w:val="de-DE"/>
        </w:rPr>
        <w:t>, 4011-4018</w:t>
      </w:r>
      <w:r w:rsidRPr="00ED0DDC">
        <w:rPr>
          <w:lang w:val="de-DE"/>
        </w:rPr>
        <w:t>.</w:t>
      </w:r>
    </w:p>
  </w:endnote>
  <w:endnote w:id="53">
    <w:p w14:paraId="5D45BD95" w14:textId="4092B95E" w:rsidR="004327C7" w:rsidRPr="00ED0DDC" w:rsidRDefault="004327C7" w:rsidP="00880429">
      <w:pPr>
        <w:spacing w:line="480" w:lineRule="auto"/>
        <w:rPr>
          <w:rFonts w:eastAsia="Times New Roman" w:cs="Times New Roman"/>
          <w:lang w:val="de-DE"/>
        </w:rPr>
      </w:pPr>
      <w:r w:rsidRPr="00443A8D">
        <w:rPr>
          <w:rStyle w:val="Eindnootmarkering"/>
        </w:rPr>
        <w:endnoteRef/>
      </w:r>
      <w:r w:rsidRPr="00ED0DDC">
        <w:rPr>
          <w:lang w:val="de-DE"/>
        </w:rPr>
        <w:t xml:space="preserve"> </w:t>
      </w:r>
      <w:r w:rsidRPr="00ED0DDC">
        <w:rPr>
          <w:rFonts w:cstheme="majorBidi"/>
          <w:color w:val="222222"/>
          <w:shd w:val="clear" w:color="auto" w:fill="FFFFFF"/>
          <w:lang w:val="de-DE"/>
        </w:rPr>
        <w:t xml:space="preserve">Bilić, A.; Reimers, J. R.; Hush, N. S. </w:t>
      </w:r>
      <w:r w:rsidRPr="00ED0DDC">
        <w:rPr>
          <w:rFonts w:cstheme="majorBidi"/>
          <w:i/>
          <w:lang w:val="de-DE"/>
        </w:rPr>
        <w:t>J. Chem. Phys.</w:t>
      </w:r>
      <w:r w:rsidRPr="00ED0DDC">
        <w:rPr>
          <w:rFonts w:cstheme="majorBidi"/>
          <w:lang w:val="de-DE"/>
        </w:rPr>
        <w:t xml:space="preserve"> </w:t>
      </w:r>
      <w:r w:rsidRPr="00ED0DDC">
        <w:rPr>
          <w:rFonts w:cstheme="majorBidi"/>
          <w:b/>
          <w:bCs/>
          <w:color w:val="222222"/>
          <w:lang w:val="de-DE"/>
        </w:rPr>
        <w:t>2005</w:t>
      </w:r>
      <w:r w:rsidRPr="00ED0DDC">
        <w:rPr>
          <w:rFonts w:cstheme="majorBidi"/>
          <w:color w:val="222222"/>
          <w:shd w:val="clear" w:color="auto" w:fill="FFFFFF"/>
          <w:lang w:val="de-DE"/>
        </w:rPr>
        <w:t>,</w:t>
      </w:r>
      <w:r w:rsidRPr="00ED0DDC">
        <w:rPr>
          <w:rStyle w:val="apple-converted-space"/>
          <w:rFonts w:cstheme="majorBidi"/>
          <w:color w:val="222222"/>
          <w:shd w:val="clear" w:color="auto" w:fill="FFFFFF"/>
          <w:lang w:val="de-DE"/>
        </w:rPr>
        <w:t> </w:t>
      </w:r>
      <w:r w:rsidRPr="00ED0DDC">
        <w:rPr>
          <w:rFonts w:cstheme="majorBidi"/>
          <w:i/>
          <w:iCs/>
          <w:color w:val="222222"/>
          <w:lang w:val="de-DE"/>
        </w:rPr>
        <w:t>122</w:t>
      </w:r>
      <w:r w:rsidRPr="00ED0DDC">
        <w:rPr>
          <w:rFonts w:cstheme="majorBidi"/>
          <w:color w:val="222222"/>
          <w:shd w:val="clear" w:color="auto" w:fill="FFFFFF"/>
          <w:lang w:val="de-DE"/>
        </w:rPr>
        <w:t>, 094708</w:t>
      </w:r>
      <w:r w:rsidRPr="00ED0DDC">
        <w:rPr>
          <w:lang w:val="de-DE"/>
        </w:rPr>
        <w:t>.</w:t>
      </w:r>
    </w:p>
  </w:endnote>
  <w:endnote w:id="54">
    <w:p w14:paraId="62B91278" w14:textId="77777777" w:rsidR="004327C7" w:rsidRPr="00ED0DDC" w:rsidRDefault="004327C7" w:rsidP="00880429">
      <w:pPr>
        <w:spacing w:line="480" w:lineRule="auto"/>
        <w:rPr>
          <w:rFonts w:eastAsia="Times New Roman" w:cstheme="majorBidi"/>
          <w:lang w:val="de-DE"/>
        </w:rPr>
      </w:pPr>
      <w:r w:rsidRPr="00443A8D">
        <w:rPr>
          <w:rStyle w:val="Eindnootmarkering"/>
          <w:rFonts w:cstheme="majorBidi"/>
        </w:rPr>
        <w:endnoteRef/>
      </w:r>
      <w:r w:rsidRPr="00ED0DDC">
        <w:rPr>
          <w:rFonts w:cstheme="majorBidi"/>
          <w:lang w:val="de-DE"/>
        </w:rPr>
        <w:t xml:space="preserve"> </w:t>
      </w:r>
      <w:r w:rsidRPr="00ED0DDC">
        <w:rPr>
          <w:rFonts w:cstheme="majorBidi"/>
          <w:color w:val="222222"/>
          <w:shd w:val="clear" w:color="auto" w:fill="FFFFFF"/>
          <w:lang w:val="de-DE"/>
        </w:rPr>
        <w:t>Herrmann, C.; Solomon, G. C.; Ratner, M. A.</w:t>
      </w:r>
      <w:r w:rsidRPr="00ED0DDC">
        <w:rPr>
          <w:rFonts w:cstheme="majorBidi"/>
          <w:lang w:val="de-DE"/>
        </w:rPr>
        <w:t xml:space="preserve"> </w:t>
      </w:r>
      <w:r w:rsidRPr="00ED0DDC">
        <w:rPr>
          <w:rFonts w:eastAsia="Times New Roman" w:cstheme="majorBidi"/>
          <w:color w:val="222222"/>
          <w:shd w:val="clear" w:color="auto" w:fill="FFFFFF"/>
          <w:lang w:val="de-DE"/>
        </w:rPr>
        <w:t xml:space="preserve">Designing Organic Spin Filters in the Coherent Tunneling Regime. </w:t>
      </w:r>
      <w:r w:rsidRPr="00ED0DDC">
        <w:rPr>
          <w:rFonts w:cstheme="majorBidi"/>
          <w:i/>
          <w:lang w:val="de-DE"/>
        </w:rPr>
        <w:t>J. Chem. Phys.</w:t>
      </w:r>
      <w:r w:rsidRPr="00ED0DDC">
        <w:rPr>
          <w:rFonts w:cstheme="majorBidi"/>
          <w:lang w:val="de-DE"/>
        </w:rPr>
        <w:t xml:space="preserve"> </w:t>
      </w:r>
      <w:r w:rsidRPr="00ED0DDC">
        <w:rPr>
          <w:rFonts w:cstheme="majorBidi"/>
          <w:b/>
          <w:bCs/>
          <w:color w:val="222222"/>
          <w:lang w:val="de-DE"/>
        </w:rPr>
        <w:t>2011</w:t>
      </w:r>
      <w:r w:rsidRPr="00ED0DDC">
        <w:rPr>
          <w:rFonts w:cstheme="majorBidi"/>
          <w:color w:val="222222"/>
          <w:shd w:val="clear" w:color="auto" w:fill="FFFFFF"/>
          <w:lang w:val="de-DE"/>
        </w:rPr>
        <w:t>,</w:t>
      </w:r>
      <w:r w:rsidRPr="00ED0DDC">
        <w:rPr>
          <w:rStyle w:val="apple-converted-space"/>
          <w:rFonts w:cstheme="majorBidi"/>
          <w:color w:val="222222"/>
          <w:shd w:val="clear" w:color="auto" w:fill="FFFFFF"/>
          <w:lang w:val="de-DE"/>
        </w:rPr>
        <w:t> </w:t>
      </w:r>
      <w:r w:rsidRPr="00ED0DDC">
        <w:rPr>
          <w:rFonts w:cstheme="majorBidi"/>
          <w:i/>
          <w:iCs/>
          <w:color w:val="222222"/>
          <w:lang w:val="de-DE"/>
        </w:rPr>
        <w:t>134</w:t>
      </w:r>
      <w:r w:rsidRPr="00ED0DDC">
        <w:rPr>
          <w:rFonts w:cstheme="majorBidi"/>
          <w:color w:val="222222"/>
          <w:shd w:val="clear" w:color="auto" w:fill="FFFFFF"/>
          <w:lang w:val="de-DE"/>
        </w:rPr>
        <w:t>, 224306</w:t>
      </w:r>
      <w:r w:rsidRPr="00ED0DDC">
        <w:rPr>
          <w:rFonts w:cstheme="majorBidi"/>
          <w:lang w:val="de-DE"/>
        </w:rPr>
        <w:t>.</w:t>
      </w:r>
    </w:p>
  </w:endnote>
  <w:endnote w:id="55">
    <w:p w14:paraId="710661AE" w14:textId="027CB5B9" w:rsidR="004327C7" w:rsidRPr="00ED0DDC" w:rsidRDefault="004327C7" w:rsidP="00880429">
      <w:pPr>
        <w:spacing w:line="480" w:lineRule="auto"/>
        <w:rPr>
          <w:rFonts w:eastAsia="Times New Roman" w:cstheme="majorBidi"/>
          <w:lang w:val="de-DE"/>
        </w:rPr>
      </w:pPr>
      <w:r w:rsidRPr="00443A8D">
        <w:rPr>
          <w:rStyle w:val="Eindnootmarkering"/>
          <w:rFonts w:cstheme="majorBidi"/>
        </w:rPr>
        <w:endnoteRef/>
      </w:r>
      <w:r w:rsidRPr="00ED0DDC">
        <w:rPr>
          <w:rFonts w:cstheme="majorBidi"/>
          <w:lang w:val="de-DE"/>
        </w:rPr>
        <w:t xml:space="preserve"> Schmidt, M. W.; Baldridge, K. K.; Boatz, J. A.; Elbert, S. T.; Gordon, M. S.; Jensen, J. H.; Koseki, S.; Matsunaga, N.; Nguyen, K. A.; Su, S.; Windus, T. L.; Dupuis, M.; Montgomery, J. A., Jr. </w:t>
      </w:r>
      <w:r w:rsidRPr="00ED0DDC">
        <w:rPr>
          <w:rFonts w:cstheme="majorBidi"/>
          <w:i/>
          <w:lang w:val="de-DE"/>
        </w:rPr>
        <w:t>J. Comput. Chem.</w:t>
      </w:r>
      <w:r w:rsidRPr="00ED0DDC">
        <w:rPr>
          <w:rFonts w:cstheme="majorBidi"/>
          <w:lang w:val="de-DE"/>
        </w:rPr>
        <w:t xml:space="preserve"> </w:t>
      </w:r>
      <w:r w:rsidRPr="00ED0DDC">
        <w:rPr>
          <w:rFonts w:cstheme="majorBidi"/>
          <w:b/>
          <w:lang w:val="de-DE"/>
        </w:rPr>
        <w:t>1993</w:t>
      </w:r>
      <w:r w:rsidRPr="00ED0DDC">
        <w:rPr>
          <w:rFonts w:cstheme="majorBidi"/>
          <w:lang w:val="de-DE"/>
        </w:rPr>
        <w:t xml:space="preserve">, </w:t>
      </w:r>
      <w:r w:rsidRPr="00ED0DDC">
        <w:rPr>
          <w:rFonts w:cstheme="majorBidi"/>
          <w:i/>
          <w:lang w:val="de-DE"/>
        </w:rPr>
        <w:t>14</w:t>
      </w:r>
      <w:r w:rsidRPr="00ED0DDC">
        <w:rPr>
          <w:rFonts w:cstheme="majorBidi"/>
          <w:lang w:val="de-DE"/>
        </w:rPr>
        <w:t>, 1347-1363.</w:t>
      </w:r>
    </w:p>
  </w:endnote>
  <w:endnote w:id="56">
    <w:p w14:paraId="1CDE331E" w14:textId="77777777" w:rsidR="004327C7" w:rsidRPr="00ED0DDC" w:rsidRDefault="004327C7" w:rsidP="00880429">
      <w:pPr>
        <w:pStyle w:val="Eindnoottekst"/>
        <w:spacing w:line="480" w:lineRule="auto"/>
        <w:rPr>
          <w:rFonts w:cstheme="majorBidi"/>
          <w:lang w:val="de-DE"/>
        </w:rPr>
      </w:pPr>
      <w:r w:rsidRPr="00443A8D">
        <w:rPr>
          <w:rStyle w:val="Eindnootmarkering"/>
          <w:rFonts w:cstheme="majorBidi"/>
        </w:rPr>
        <w:endnoteRef/>
      </w:r>
      <w:r w:rsidRPr="00ED0DDC">
        <w:rPr>
          <w:rFonts w:cstheme="majorBidi"/>
          <w:lang w:val="de-DE"/>
        </w:rPr>
        <w:t xml:space="preserve"> Gordon, M. S.; Schmidt, M. W., </w:t>
      </w:r>
      <w:r w:rsidRPr="00ED0DDC">
        <w:rPr>
          <w:rFonts w:cstheme="majorBidi"/>
          <w:i/>
          <w:lang w:val="de-DE"/>
        </w:rPr>
        <w:t>Advances in Electronic Structure Theory: GAMESS a Decade Later</w:t>
      </w:r>
      <w:r w:rsidRPr="00ED0DDC">
        <w:rPr>
          <w:rFonts w:cstheme="majorBidi"/>
          <w:lang w:val="de-DE"/>
        </w:rPr>
        <w:t xml:space="preserve"> in </w:t>
      </w:r>
      <w:r w:rsidRPr="00ED0DDC">
        <w:rPr>
          <w:rFonts w:cstheme="majorBidi"/>
          <w:i/>
          <w:lang w:val="de-DE"/>
        </w:rPr>
        <w:t>Theory and Applications of Computational Chemistry: The First Forty Years</w:t>
      </w:r>
      <w:r w:rsidRPr="00ED0DDC">
        <w:rPr>
          <w:rFonts w:cstheme="majorBidi"/>
          <w:lang w:val="de-DE"/>
        </w:rPr>
        <w:t>, Dykstra, C. E.; Frenking, G.; Kim, K. S.; Scuseria, G. E. (Eds) 2005, Elsevier, Amsterdam Chap. 41, pp 11167-1189.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Yu Mincho">
    <w:panose1 w:val="02020400000000000000"/>
    <w:charset w:val="80"/>
    <w:family w:val="auto"/>
    <w:pitch w:val="variable"/>
    <w:sig w:usb0="800002E7" w:usb1="2AC7FCFF" w:usb2="00000012" w:usb3="00000000" w:csb0="000200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Cambria Math">
    <w:panose1 w:val="02040503050406030204"/>
    <w:charset w:val="00"/>
    <w:family w:val="auto"/>
    <w:pitch w:val="variable"/>
    <w:sig w:usb0="E00002FF" w:usb1="420024FF" w:usb2="00000000" w:usb3="00000000" w:csb0="0000019F" w:csb1="00000000"/>
  </w:font>
  <w:font w:name="Helvetica">
    <w:panose1 w:val="00000000000000000000"/>
    <w:charset w:val="4D"/>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3C8AA" w14:textId="77777777" w:rsidR="004327C7" w:rsidRDefault="004327C7" w:rsidP="00A31210">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4955B7E" w14:textId="77777777" w:rsidR="004327C7" w:rsidRDefault="004327C7" w:rsidP="009565CE">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91B365" w14:textId="77777777" w:rsidR="004327C7" w:rsidRDefault="004327C7" w:rsidP="00A31210">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D524C2">
      <w:rPr>
        <w:rStyle w:val="Paginanummer"/>
        <w:noProof/>
      </w:rPr>
      <w:t>5</w:t>
    </w:r>
    <w:r>
      <w:rPr>
        <w:rStyle w:val="Paginanummer"/>
      </w:rPr>
      <w:fldChar w:fldCharType="end"/>
    </w:r>
  </w:p>
  <w:p w14:paraId="6E40C9FC" w14:textId="77777777" w:rsidR="004327C7" w:rsidRDefault="004327C7" w:rsidP="009565CE">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1918A3" w14:textId="77777777" w:rsidR="009B14D3" w:rsidRDefault="009B14D3" w:rsidP="006A4A17">
      <w:r>
        <w:separator/>
      </w:r>
    </w:p>
  </w:footnote>
  <w:footnote w:type="continuationSeparator" w:id="0">
    <w:p w14:paraId="300104CC" w14:textId="77777777" w:rsidR="009B14D3" w:rsidRDefault="009B14D3" w:rsidP="006A4A17">
      <w:r>
        <w:continuationSeparator/>
      </w:r>
    </w:p>
  </w:footnote>
  <w:footnote w:id="1">
    <w:p w14:paraId="7C511428" w14:textId="77777777" w:rsidR="004327C7" w:rsidRPr="00BB7FB8" w:rsidRDefault="004327C7" w:rsidP="006A4A17">
      <w:pPr>
        <w:pStyle w:val="Voetnoottekst"/>
        <w:rPr>
          <w:lang w:val="en-US"/>
        </w:rPr>
      </w:pPr>
      <w:r>
        <w:rPr>
          <w:rStyle w:val="Voetnootmarkering"/>
        </w:rPr>
        <w:footnoteRef/>
      </w:r>
      <w:r w:rsidRPr="00B45F8E">
        <w:rPr>
          <w:lang w:val="en-US"/>
        </w:rPr>
        <w:t xml:space="preserve"> </w:t>
      </w:r>
      <w:r w:rsidRPr="00B45F8E">
        <w:rPr>
          <w:rFonts w:ascii="Times New Roman" w:hAnsi="Times New Roman" w:cs="Times New Roman"/>
          <w:lang w:val="en-US"/>
        </w:rPr>
        <w:t xml:space="preserve">To whom correspondence should be addressed. </w:t>
      </w:r>
      <w:r w:rsidRPr="00BB7FB8">
        <w:rPr>
          <w:rFonts w:ascii="Times New Roman" w:hAnsi="Times New Roman" w:cs="Times New Roman"/>
          <w:lang w:val="en-US"/>
        </w:rPr>
        <w:t>E-mail: Thijs.Stuyver@vub.be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08"/>
  <w:hyphenationZone w:val="425"/>
  <w:characterSpacingControl w:val="doNotCompress"/>
  <w:hdrShapeDefaults>
    <o:shapedefaults v:ext="edit" spidmax="2049">
      <v:textbox inset="5.85pt,.7pt,5.85pt,.7pt"/>
    </o:shapedefaults>
  </w:hdrShapeDefaults>
  <w:footnotePr>
    <w:numFmt w:val="chicago"/>
    <w:footnote w:id="-1"/>
    <w:footnote w:id="0"/>
  </w:footnotePr>
  <w:endnotePr>
    <w:numFmt w:val="decimal"/>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A17"/>
    <w:rsid w:val="0000532E"/>
    <w:rsid w:val="00015EC9"/>
    <w:rsid w:val="000229F2"/>
    <w:rsid w:val="000248CC"/>
    <w:rsid w:val="00027F97"/>
    <w:rsid w:val="0003636C"/>
    <w:rsid w:val="00042490"/>
    <w:rsid w:val="00047D5E"/>
    <w:rsid w:val="000514E6"/>
    <w:rsid w:val="00051696"/>
    <w:rsid w:val="00053166"/>
    <w:rsid w:val="00053E3C"/>
    <w:rsid w:val="000606CB"/>
    <w:rsid w:val="00061FDD"/>
    <w:rsid w:val="000628E2"/>
    <w:rsid w:val="00062AE3"/>
    <w:rsid w:val="00065029"/>
    <w:rsid w:val="00072EDC"/>
    <w:rsid w:val="000802F5"/>
    <w:rsid w:val="0008226B"/>
    <w:rsid w:val="00084616"/>
    <w:rsid w:val="00092DEB"/>
    <w:rsid w:val="000967CC"/>
    <w:rsid w:val="000A11FA"/>
    <w:rsid w:val="000A2886"/>
    <w:rsid w:val="000A3922"/>
    <w:rsid w:val="000A45FD"/>
    <w:rsid w:val="000A542E"/>
    <w:rsid w:val="000A5583"/>
    <w:rsid w:val="000A734E"/>
    <w:rsid w:val="000B1A4D"/>
    <w:rsid w:val="000C1473"/>
    <w:rsid w:val="000C2128"/>
    <w:rsid w:val="000C2B93"/>
    <w:rsid w:val="000C5DD0"/>
    <w:rsid w:val="000C5FA6"/>
    <w:rsid w:val="000C6D2B"/>
    <w:rsid w:val="000D10DC"/>
    <w:rsid w:val="000D1859"/>
    <w:rsid w:val="000D1DEF"/>
    <w:rsid w:val="000D1EF9"/>
    <w:rsid w:val="000E3CAA"/>
    <w:rsid w:val="000E6B86"/>
    <w:rsid w:val="000E77FB"/>
    <w:rsid w:val="000F0945"/>
    <w:rsid w:val="000F5B46"/>
    <w:rsid w:val="000F6832"/>
    <w:rsid w:val="00101DBB"/>
    <w:rsid w:val="00102E3B"/>
    <w:rsid w:val="0010426D"/>
    <w:rsid w:val="0011215F"/>
    <w:rsid w:val="00112A2F"/>
    <w:rsid w:val="00116383"/>
    <w:rsid w:val="001230A0"/>
    <w:rsid w:val="00130963"/>
    <w:rsid w:val="001371E8"/>
    <w:rsid w:val="00142F16"/>
    <w:rsid w:val="00143CDC"/>
    <w:rsid w:val="001468E1"/>
    <w:rsid w:val="00150DE2"/>
    <w:rsid w:val="001518C9"/>
    <w:rsid w:val="00156A82"/>
    <w:rsid w:val="00160DDF"/>
    <w:rsid w:val="00160F3F"/>
    <w:rsid w:val="00165F81"/>
    <w:rsid w:val="00171864"/>
    <w:rsid w:val="001748C2"/>
    <w:rsid w:val="00174F0F"/>
    <w:rsid w:val="001755F3"/>
    <w:rsid w:val="0017789B"/>
    <w:rsid w:val="00190F90"/>
    <w:rsid w:val="001952C5"/>
    <w:rsid w:val="001A379D"/>
    <w:rsid w:val="001A4F15"/>
    <w:rsid w:val="001A6369"/>
    <w:rsid w:val="001B3167"/>
    <w:rsid w:val="001B3B97"/>
    <w:rsid w:val="001B56CD"/>
    <w:rsid w:val="001C51DE"/>
    <w:rsid w:val="001C79A2"/>
    <w:rsid w:val="001C7B08"/>
    <w:rsid w:val="001D3904"/>
    <w:rsid w:val="001E0B08"/>
    <w:rsid w:val="001E5CB4"/>
    <w:rsid w:val="001E6DE5"/>
    <w:rsid w:val="001F5A1A"/>
    <w:rsid w:val="002016FC"/>
    <w:rsid w:val="00203E77"/>
    <w:rsid w:val="002054C2"/>
    <w:rsid w:val="00205AB5"/>
    <w:rsid w:val="00212904"/>
    <w:rsid w:val="00214738"/>
    <w:rsid w:val="00217458"/>
    <w:rsid w:val="00220B4A"/>
    <w:rsid w:val="00220C74"/>
    <w:rsid w:val="002216C0"/>
    <w:rsid w:val="002226EB"/>
    <w:rsid w:val="00225B8E"/>
    <w:rsid w:val="0022671D"/>
    <w:rsid w:val="0023753B"/>
    <w:rsid w:val="00237778"/>
    <w:rsid w:val="0024157C"/>
    <w:rsid w:val="0024580C"/>
    <w:rsid w:val="002465FC"/>
    <w:rsid w:val="00247662"/>
    <w:rsid w:val="00247F2C"/>
    <w:rsid w:val="002512BE"/>
    <w:rsid w:val="00254D54"/>
    <w:rsid w:val="00255A65"/>
    <w:rsid w:val="002564CC"/>
    <w:rsid w:val="002658F3"/>
    <w:rsid w:val="00271696"/>
    <w:rsid w:val="0028191E"/>
    <w:rsid w:val="00284AA7"/>
    <w:rsid w:val="00284B41"/>
    <w:rsid w:val="00285841"/>
    <w:rsid w:val="00290914"/>
    <w:rsid w:val="002A11A1"/>
    <w:rsid w:val="002A2A07"/>
    <w:rsid w:val="002A4AB3"/>
    <w:rsid w:val="002B1083"/>
    <w:rsid w:val="002C4707"/>
    <w:rsid w:val="002C4E28"/>
    <w:rsid w:val="002D3B2D"/>
    <w:rsid w:val="002D53AB"/>
    <w:rsid w:val="002E089A"/>
    <w:rsid w:val="002E4696"/>
    <w:rsid w:val="002E522A"/>
    <w:rsid w:val="002E6B45"/>
    <w:rsid w:val="002F22CC"/>
    <w:rsid w:val="002F6196"/>
    <w:rsid w:val="002F7E41"/>
    <w:rsid w:val="00300015"/>
    <w:rsid w:val="00315110"/>
    <w:rsid w:val="00315127"/>
    <w:rsid w:val="003151AF"/>
    <w:rsid w:val="00322C4E"/>
    <w:rsid w:val="003253A2"/>
    <w:rsid w:val="0033294D"/>
    <w:rsid w:val="00336338"/>
    <w:rsid w:val="00337E57"/>
    <w:rsid w:val="003423CE"/>
    <w:rsid w:val="00345D15"/>
    <w:rsid w:val="0036024B"/>
    <w:rsid w:val="003629A4"/>
    <w:rsid w:val="00366DDD"/>
    <w:rsid w:val="00372CE6"/>
    <w:rsid w:val="00380CE7"/>
    <w:rsid w:val="00381458"/>
    <w:rsid w:val="00382878"/>
    <w:rsid w:val="00383B7A"/>
    <w:rsid w:val="0038552D"/>
    <w:rsid w:val="0039660F"/>
    <w:rsid w:val="003A1777"/>
    <w:rsid w:val="003B031D"/>
    <w:rsid w:val="003B0509"/>
    <w:rsid w:val="003B1052"/>
    <w:rsid w:val="003B56B7"/>
    <w:rsid w:val="003B74D3"/>
    <w:rsid w:val="003D3EA0"/>
    <w:rsid w:val="003D5462"/>
    <w:rsid w:val="003E5147"/>
    <w:rsid w:val="003E595E"/>
    <w:rsid w:val="003F0AB7"/>
    <w:rsid w:val="00414B91"/>
    <w:rsid w:val="0042138B"/>
    <w:rsid w:val="00427849"/>
    <w:rsid w:val="004327C7"/>
    <w:rsid w:val="00432B69"/>
    <w:rsid w:val="00434B44"/>
    <w:rsid w:val="00440CCC"/>
    <w:rsid w:val="00440E06"/>
    <w:rsid w:val="00443A8D"/>
    <w:rsid w:val="004455FB"/>
    <w:rsid w:val="004504FE"/>
    <w:rsid w:val="00461312"/>
    <w:rsid w:val="004663E3"/>
    <w:rsid w:val="00471398"/>
    <w:rsid w:val="004716B8"/>
    <w:rsid w:val="00472CA4"/>
    <w:rsid w:val="0047495B"/>
    <w:rsid w:val="00476C44"/>
    <w:rsid w:val="00477C26"/>
    <w:rsid w:val="0048029E"/>
    <w:rsid w:val="004836D9"/>
    <w:rsid w:val="00490054"/>
    <w:rsid w:val="0049121D"/>
    <w:rsid w:val="0049177B"/>
    <w:rsid w:val="00491E17"/>
    <w:rsid w:val="00492A8C"/>
    <w:rsid w:val="004A230E"/>
    <w:rsid w:val="004A253D"/>
    <w:rsid w:val="004A3ADB"/>
    <w:rsid w:val="004A5F1A"/>
    <w:rsid w:val="004B4550"/>
    <w:rsid w:val="004C0800"/>
    <w:rsid w:val="004C0AA3"/>
    <w:rsid w:val="004C32D7"/>
    <w:rsid w:val="004C5F1A"/>
    <w:rsid w:val="004C6D5C"/>
    <w:rsid w:val="004D75A3"/>
    <w:rsid w:val="004D77F1"/>
    <w:rsid w:val="004E4835"/>
    <w:rsid w:val="00504C11"/>
    <w:rsid w:val="00511DEB"/>
    <w:rsid w:val="00517C7C"/>
    <w:rsid w:val="00523751"/>
    <w:rsid w:val="00523F04"/>
    <w:rsid w:val="00533725"/>
    <w:rsid w:val="00533FC2"/>
    <w:rsid w:val="00536531"/>
    <w:rsid w:val="00545DBF"/>
    <w:rsid w:val="00547264"/>
    <w:rsid w:val="005525D4"/>
    <w:rsid w:val="005529AA"/>
    <w:rsid w:val="005534BD"/>
    <w:rsid w:val="00554704"/>
    <w:rsid w:val="0055542E"/>
    <w:rsid w:val="00556A06"/>
    <w:rsid w:val="00560271"/>
    <w:rsid w:val="0056228B"/>
    <w:rsid w:val="00562CA7"/>
    <w:rsid w:val="0056320F"/>
    <w:rsid w:val="00566F47"/>
    <w:rsid w:val="00570CB7"/>
    <w:rsid w:val="0057260F"/>
    <w:rsid w:val="005729D7"/>
    <w:rsid w:val="00573E67"/>
    <w:rsid w:val="00577AF6"/>
    <w:rsid w:val="00581E5B"/>
    <w:rsid w:val="005828BC"/>
    <w:rsid w:val="005955A4"/>
    <w:rsid w:val="00597D6C"/>
    <w:rsid w:val="005A12AF"/>
    <w:rsid w:val="005A1AA2"/>
    <w:rsid w:val="005B101C"/>
    <w:rsid w:val="005D06C4"/>
    <w:rsid w:val="005D06F2"/>
    <w:rsid w:val="005D0E14"/>
    <w:rsid w:val="005D2342"/>
    <w:rsid w:val="005D366A"/>
    <w:rsid w:val="005D7B28"/>
    <w:rsid w:val="005E16D5"/>
    <w:rsid w:val="005E3C6C"/>
    <w:rsid w:val="005E63DC"/>
    <w:rsid w:val="005E7CE5"/>
    <w:rsid w:val="005F062B"/>
    <w:rsid w:val="006019F2"/>
    <w:rsid w:val="0060352F"/>
    <w:rsid w:val="00606DE1"/>
    <w:rsid w:val="00613803"/>
    <w:rsid w:val="0061432A"/>
    <w:rsid w:val="00614D3C"/>
    <w:rsid w:val="006269F6"/>
    <w:rsid w:val="00630E58"/>
    <w:rsid w:val="00631A47"/>
    <w:rsid w:val="00632EA2"/>
    <w:rsid w:val="00636628"/>
    <w:rsid w:val="00642BC2"/>
    <w:rsid w:val="00647E81"/>
    <w:rsid w:val="00650DA2"/>
    <w:rsid w:val="00653CE9"/>
    <w:rsid w:val="006542A2"/>
    <w:rsid w:val="00654CCF"/>
    <w:rsid w:val="00655210"/>
    <w:rsid w:val="00657EF6"/>
    <w:rsid w:val="00664901"/>
    <w:rsid w:val="00665406"/>
    <w:rsid w:val="00665BAD"/>
    <w:rsid w:val="00665FEE"/>
    <w:rsid w:val="0066777D"/>
    <w:rsid w:val="006712FA"/>
    <w:rsid w:val="0067139C"/>
    <w:rsid w:val="006729E2"/>
    <w:rsid w:val="0068518C"/>
    <w:rsid w:val="0069350B"/>
    <w:rsid w:val="0069519F"/>
    <w:rsid w:val="00696078"/>
    <w:rsid w:val="0069629C"/>
    <w:rsid w:val="006A030B"/>
    <w:rsid w:val="006A1EAC"/>
    <w:rsid w:val="006A3532"/>
    <w:rsid w:val="006A4A17"/>
    <w:rsid w:val="006B0469"/>
    <w:rsid w:val="006B0590"/>
    <w:rsid w:val="006B48AC"/>
    <w:rsid w:val="006B76DE"/>
    <w:rsid w:val="006C1E10"/>
    <w:rsid w:val="006C22C5"/>
    <w:rsid w:val="006C539D"/>
    <w:rsid w:val="006C756F"/>
    <w:rsid w:val="006D226E"/>
    <w:rsid w:val="006D28D9"/>
    <w:rsid w:val="006D2ACB"/>
    <w:rsid w:val="006D48DF"/>
    <w:rsid w:val="006D64A9"/>
    <w:rsid w:val="006E047F"/>
    <w:rsid w:val="006E0911"/>
    <w:rsid w:val="006E34AA"/>
    <w:rsid w:val="006E58F1"/>
    <w:rsid w:val="006E7470"/>
    <w:rsid w:val="006E7723"/>
    <w:rsid w:val="006E79AE"/>
    <w:rsid w:val="006F3CC7"/>
    <w:rsid w:val="006F5C8C"/>
    <w:rsid w:val="006F5D40"/>
    <w:rsid w:val="006F6CEA"/>
    <w:rsid w:val="00703A77"/>
    <w:rsid w:val="007051FB"/>
    <w:rsid w:val="00711AE1"/>
    <w:rsid w:val="00711D92"/>
    <w:rsid w:val="0072730C"/>
    <w:rsid w:val="00732568"/>
    <w:rsid w:val="0073282A"/>
    <w:rsid w:val="00732971"/>
    <w:rsid w:val="00736509"/>
    <w:rsid w:val="00743815"/>
    <w:rsid w:val="00743C13"/>
    <w:rsid w:val="007443CE"/>
    <w:rsid w:val="00744B56"/>
    <w:rsid w:val="0074708B"/>
    <w:rsid w:val="0075257A"/>
    <w:rsid w:val="00757BD5"/>
    <w:rsid w:val="00761463"/>
    <w:rsid w:val="00763DE5"/>
    <w:rsid w:val="00764A07"/>
    <w:rsid w:val="0077107E"/>
    <w:rsid w:val="00771EAA"/>
    <w:rsid w:val="00791E51"/>
    <w:rsid w:val="00797EE2"/>
    <w:rsid w:val="007A3C25"/>
    <w:rsid w:val="007B44AA"/>
    <w:rsid w:val="007B46C3"/>
    <w:rsid w:val="007B6FB4"/>
    <w:rsid w:val="007C178E"/>
    <w:rsid w:val="007C564C"/>
    <w:rsid w:val="007C6A7E"/>
    <w:rsid w:val="007E2281"/>
    <w:rsid w:val="007E2361"/>
    <w:rsid w:val="007E2B46"/>
    <w:rsid w:val="007E5ECC"/>
    <w:rsid w:val="007F1B7A"/>
    <w:rsid w:val="007F281D"/>
    <w:rsid w:val="007F2FA0"/>
    <w:rsid w:val="007F4296"/>
    <w:rsid w:val="00801C77"/>
    <w:rsid w:val="0080237B"/>
    <w:rsid w:val="008104A5"/>
    <w:rsid w:val="00814129"/>
    <w:rsid w:val="008162AD"/>
    <w:rsid w:val="00820F88"/>
    <w:rsid w:val="00824BDD"/>
    <w:rsid w:val="00826A14"/>
    <w:rsid w:val="0083029B"/>
    <w:rsid w:val="00831B80"/>
    <w:rsid w:val="008403B7"/>
    <w:rsid w:val="0084325F"/>
    <w:rsid w:val="00846C77"/>
    <w:rsid w:val="00850BF2"/>
    <w:rsid w:val="00851EFF"/>
    <w:rsid w:val="008525A9"/>
    <w:rsid w:val="0085379B"/>
    <w:rsid w:val="00854C25"/>
    <w:rsid w:val="00860B1F"/>
    <w:rsid w:val="00874464"/>
    <w:rsid w:val="0087745B"/>
    <w:rsid w:val="00880429"/>
    <w:rsid w:val="00890265"/>
    <w:rsid w:val="008954AA"/>
    <w:rsid w:val="008A07D8"/>
    <w:rsid w:val="008A3AE8"/>
    <w:rsid w:val="008A41EE"/>
    <w:rsid w:val="008A4D57"/>
    <w:rsid w:val="008B300C"/>
    <w:rsid w:val="008B5AB4"/>
    <w:rsid w:val="008C1E65"/>
    <w:rsid w:val="008D7073"/>
    <w:rsid w:val="008E3323"/>
    <w:rsid w:val="008E54C1"/>
    <w:rsid w:val="008E6C46"/>
    <w:rsid w:val="008F61D2"/>
    <w:rsid w:val="008F73E7"/>
    <w:rsid w:val="008F789C"/>
    <w:rsid w:val="00905390"/>
    <w:rsid w:val="00905A68"/>
    <w:rsid w:val="009064FC"/>
    <w:rsid w:val="0091020E"/>
    <w:rsid w:val="00913D8F"/>
    <w:rsid w:val="009152A0"/>
    <w:rsid w:val="009153FB"/>
    <w:rsid w:val="00924AFB"/>
    <w:rsid w:val="00924DFC"/>
    <w:rsid w:val="00930F1F"/>
    <w:rsid w:val="00937F2E"/>
    <w:rsid w:val="00942DA1"/>
    <w:rsid w:val="00950075"/>
    <w:rsid w:val="00953EF2"/>
    <w:rsid w:val="0095416C"/>
    <w:rsid w:val="009565CE"/>
    <w:rsid w:val="00963012"/>
    <w:rsid w:val="0096728F"/>
    <w:rsid w:val="00970562"/>
    <w:rsid w:val="009705C1"/>
    <w:rsid w:val="00976314"/>
    <w:rsid w:val="00983FAD"/>
    <w:rsid w:val="0098573C"/>
    <w:rsid w:val="0098602C"/>
    <w:rsid w:val="00990224"/>
    <w:rsid w:val="009937E8"/>
    <w:rsid w:val="009A28BA"/>
    <w:rsid w:val="009A3E45"/>
    <w:rsid w:val="009A7CDF"/>
    <w:rsid w:val="009B14D3"/>
    <w:rsid w:val="009B4A41"/>
    <w:rsid w:val="009B4C25"/>
    <w:rsid w:val="009C1ECB"/>
    <w:rsid w:val="009C2E2E"/>
    <w:rsid w:val="009D24E2"/>
    <w:rsid w:val="009D2696"/>
    <w:rsid w:val="009D5560"/>
    <w:rsid w:val="009D6F1E"/>
    <w:rsid w:val="009E046C"/>
    <w:rsid w:val="009E4A2D"/>
    <w:rsid w:val="009E51E9"/>
    <w:rsid w:val="009E5EDA"/>
    <w:rsid w:val="009E67A5"/>
    <w:rsid w:val="009F1AA8"/>
    <w:rsid w:val="009F2835"/>
    <w:rsid w:val="009F28A6"/>
    <w:rsid w:val="00A02F53"/>
    <w:rsid w:val="00A045C6"/>
    <w:rsid w:val="00A12612"/>
    <w:rsid w:val="00A2042C"/>
    <w:rsid w:val="00A22FB2"/>
    <w:rsid w:val="00A24223"/>
    <w:rsid w:val="00A25B1A"/>
    <w:rsid w:val="00A31210"/>
    <w:rsid w:val="00A360EF"/>
    <w:rsid w:val="00A37C06"/>
    <w:rsid w:val="00A41560"/>
    <w:rsid w:val="00A41A9D"/>
    <w:rsid w:val="00A465BA"/>
    <w:rsid w:val="00A51D58"/>
    <w:rsid w:val="00A5494E"/>
    <w:rsid w:val="00A54AFB"/>
    <w:rsid w:val="00A552B6"/>
    <w:rsid w:val="00A55856"/>
    <w:rsid w:val="00A73C10"/>
    <w:rsid w:val="00A8139A"/>
    <w:rsid w:val="00A920EA"/>
    <w:rsid w:val="00A97450"/>
    <w:rsid w:val="00A97FC8"/>
    <w:rsid w:val="00AA4AE7"/>
    <w:rsid w:val="00AB013B"/>
    <w:rsid w:val="00AB3F19"/>
    <w:rsid w:val="00AB563A"/>
    <w:rsid w:val="00AB636C"/>
    <w:rsid w:val="00AB64A9"/>
    <w:rsid w:val="00AC0030"/>
    <w:rsid w:val="00AC0096"/>
    <w:rsid w:val="00AC0C9F"/>
    <w:rsid w:val="00AC1D00"/>
    <w:rsid w:val="00AC3B46"/>
    <w:rsid w:val="00AD0C50"/>
    <w:rsid w:val="00AD59FB"/>
    <w:rsid w:val="00AE0646"/>
    <w:rsid w:val="00AE1EB3"/>
    <w:rsid w:val="00AE6986"/>
    <w:rsid w:val="00AF3573"/>
    <w:rsid w:val="00AF3F0D"/>
    <w:rsid w:val="00AF594F"/>
    <w:rsid w:val="00B068A8"/>
    <w:rsid w:val="00B1124E"/>
    <w:rsid w:val="00B26BFD"/>
    <w:rsid w:val="00B31996"/>
    <w:rsid w:val="00B5196B"/>
    <w:rsid w:val="00B533B1"/>
    <w:rsid w:val="00B61D85"/>
    <w:rsid w:val="00B624D2"/>
    <w:rsid w:val="00B70EDB"/>
    <w:rsid w:val="00B72858"/>
    <w:rsid w:val="00B73CF6"/>
    <w:rsid w:val="00B75063"/>
    <w:rsid w:val="00B76824"/>
    <w:rsid w:val="00B77DA4"/>
    <w:rsid w:val="00B81BAE"/>
    <w:rsid w:val="00B84024"/>
    <w:rsid w:val="00B86C5F"/>
    <w:rsid w:val="00B917C2"/>
    <w:rsid w:val="00BA2954"/>
    <w:rsid w:val="00BA3522"/>
    <w:rsid w:val="00BA4025"/>
    <w:rsid w:val="00BA523B"/>
    <w:rsid w:val="00BA6A43"/>
    <w:rsid w:val="00BB72F7"/>
    <w:rsid w:val="00BB7E2B"/>
    <w:rsid w:val="00BC23E2"/>
    <w:rsid w:val="00BC34E0"/>
    <w:rsid w:val="00BC4C9E"/>
    <w:rsid w:val="00BC502E"/>
    <w:rsid w:val="00BC6055"/>
    <w:rsid w:val="00BC632F"/>
    <w:rsid w:val="00BC634E"/>
    <w:rsid w:val="00BC64F9"/>
    <w:rsid w:val="00BC791A"/>
    <w:rsid w:val="00BD2B14"/>
    <w:rsid w:val="00BD681A"/>
    <w:rsid w:val="00BE1414"/>
    <w:rsid w:val="00BE6293"/>
    <w:rsid w:val="00BE670A"/>
    <w:rsid w:val="00BE6EBC"/>
    <w:rsid w:val="00BF3798"/>
    <w:rsid w:val="00BF7865"/>
    <w:rsid w:val="00C0739E"/>
    <w:rsid w:val="00C07C5F"/>
    <w:rsid w:val="00C172D3"/>
    <w:rsid w:val="00C17DEA"/>
    <w:rsid w:val="00C34E15"/>
    <w:rsid w:val="00C356E4"/>
    <w:rsid w:val="00C37A44"/>
    <w:rsid w:val="00C456BE"/>
    <w:rsid w:val="00C4733B"/>
    <w:rsid w:val="00C61843"/>
    <w:rsid w:val="00C704C3"/>
    <w:rsid w:val="00C82C6F"/>
    <w:rsid w:val="00C860C3"/>
    <w:rsid w:val="00C8698E"/>
    <w:rsid w:val="00C961F9"/>
    <w:rsid w:val="00CA2F8C"/>
    <w:rsid w:val="00CA7286"/>
    <w:rsid w:val="00CA7853"/>
    <w:rsid w:val="00CB5267"/>
    <w:rsid w:val="00CB7AD2"/>
    <w:rsid w:val="00CC0080"/>
    <w:rsid w:val="00CC0D5F"/>
    <w:rsid w:val="00CC1EE8"/>
    <w:rsid w:val="00CD0A6D"/>
    <w:rsid w:val="00CD24D7"/>
    <w:rsid w:val="00CE00D9"/>
    <w:rsid w:val="00CE31CF"/>
    <w:rsid w:val="00CE4E6D"/>
    <w:rsid w:val="00CE58D9"/>
    <w:rsid w:val="00CF0B75"/>
    <w:rsid w:val="00CF7551"/>
    <w:rsid w:val="00D00A4A"/>
    <w:rsid w:val="00D00CC7"/>
    <w:rsid w:val="00D02C6F"/>
    <w:rsid w:val="00D1101B"/>
    <w:rsid w:val="00D12E14"/>
    <w:rsid w:val="00D133ED"/>
    <w:rsid w:val="00D143EC"/>
    <w:rsid w:val="00D154A8"/>
    <w:rsid w:val="00D15918"/>
    <w:rsid w:val="00D20E4E"/>
    <w:rsid w:val="00D25B11"/>
    <w:rsid w:val="00D26597"/>
    <w:rsid w:val="00D2743D"/>
    <w:rsid w:val="00D3026C"/>
    <w:rsid w:val="00D30CB5"/>
    <w:rsid w:val="00D36010"/>
    <w:rsid w:val="00D40FCA"/>
    <w:rsid w:val="00D42EC6"/>
    <w:rsid w:val="00D439A4"/>
    <w:rsid w:val="00D440CF"/>
    <w:rsid w:val="00D501E6"/>
    <w:rsid w:val="00D524C2"/>
    <w:rsid w:val="00D6093A"/>
    <w:rsid w:val="00D6218E"/>
    <w:rsid w:val="00D636DB"/>
    <w:rsid w:val="00D64614"/>
    <w:rsid w:val="00D70044"/>
    <w:rsid w:val="00D7118E"/>
    <w:rsid w:val="00D711AF"/>
    <w:rsid w:val="00D7352E"/>
    <w:rsid w:val="00D73B4E"/>
    <w:rsid w:val="00D74784"/>
    <w:rsid w:val="00D756BC"/>
    <w:rsid w:val="00D75C4D"/>
    <w:rsid w:val="00D84368"/>
    <w:rsid w:val="00DA49AB"/>
    <w:rsid w:val="00DB46E0"/>
    <w:rsid w:val="00DB52E0"/>
    <w:rsid w:val="00DC3C5D"/>
    <w:rsid w:val="00DD2293"/>
    <w:rsid w:val="00DD2876"/>
    <w:rsid w:val="00DD4A55"/>
    <w:rsid w:val="00DE2BC5"/>
    <w:rsid w:val="00DE7FD6"/>
    <w:rsid w:val="00DF40AE"/>
    <w:rsid w:val="00DF4B7B"/>
    <w:rsid w:val="00E02299"/>
    <w:rsid w:val="00E02A1A"/>
    <w:rsid w:val="00E038F8"/>
    <w:rsid w:val="00E045E5"/>
    <w:rsid w:val="00E137E2"/>
    <w:rsid w:val="00E22A51"/>
    <w:rsid w:val="00E2366F"/>
    <w:rsid w:val="00E253AE"/>
    <w:rsid w:val="00E25AA6"/>
    <w:rsid w:val="00E30882"/>
    <w:rsid w:val="00E31107"/>
    <w:rsid w:val="00E321E5"/>
    <w:rsid w:val="00E3747C"/>
    <w:rsid w:val="00E40858"/>
    <w:rsid w:val="00E579A3"/>
    <w:rsid w:val="00E6076A"/>
    <w:rsid w:val="00E630B7"/>
    <w:rsid w:val="00E7293A"/>
    <w:rsid w:val="00E75B1E"/>
    <w:rsid w:val="00E765BC"/>
    <w:rsid w:val="00E86354"/>
    <w:rsid w:val="00E90225"/>
    <w:rsid w:val="00E95D07"/>
    <w:rsid w:val="00EA188D"/>
    <w:rsid w:val="00EA63CD"/>
    <w:rsid w:val="00EB285B"/>
    <w:rsid w:val="00EB6758"/>
    <w:rsid w:val="00EC1E50"/>
    <w:rsid w:val="00EC699B"/>
    <w:rsid w:val="00ED0DDC"/>
    <w:rsid w:val="00ED4461"/>
    <w:rsid w:val="00EE7732"/>
    <w:rsid w:val="00EF2B46"/>
    <w:rsid w:val="00EF2EFC"/>
    <w:rsid w:val="00EF64DE"/>
    <w:rsid w:val="00F03752"/>
    <w:rsid w:val="00F037D8"/>
    <w:rsid w:val="00F113B5"/>
    <w:rsid w:val="00F125FF"/>
    <w:rsid w:val="00F17FBF"/>
    <w:rsid w:val="00F232C5"/>
    <w:rsid w:val="00F23F81"/>
    <w:rsid w:val="00F2599A"/>
    <w:rsid w:val="00F42E4E"/>
    <w:rsid w:val="00F45183"/>
    <w:rsid w:val="00F50135"/>
    <w:rsid w:val="00F523C7"/>
    <w:rsid w:val="00F524EA"/>
    <w:rsid w:val="00F526AE"/>
    <w:rsid w:val="00F57080"/>
    <w:rsid w:val="00F60823"/>
    <w:rsid w:val="00F65650"/>
    <w:rsid w:val="00F65B04"/>
    <w:rsid w:val="00F7071E"/>
    <w:rsid w:val="00F73248"/>
    <w:rsid w:val="00F8181C"/>
    <w:rsid w:val="00F818BC"/>
    <w:rsid w:val="00F82700"/>
    <w:rsid w:val="00F82E3F"/>
    <w:rsid w:val="00F85BF6"/>
    <w:rsid w:val="00F971AF"/>
    <w:rsid w:val="00FA3E40"/>
    <w:rsid w:val="00FA589B"/>
    <w:rsid w:val="00FB0CFB"/>
    <w:rsid w:val="00FB24F3"/>
    <w:rsid w:val="00FC7503"/>
    <w:rsid w:val="00FD4EFF"/>
    <w:rsid w:val="00FD51CF"/>
    <w:rsid w:val="00FE598C"/>
    <w:rsid w:val="00FF08C7"/>
    <w:rsid w:val="00FF17C6"/>
    <w:rsid w:val="00FF4C41"/>
    <w:rsid w:val="00FF5E28"/>
    <w:rsid w:val="00FF6AE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0ED105CD"/>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nl-NL"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6A4A1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Teken"/>
    <w:uiPriority w:val="99"/>
    <w:unhideWhenUsed/>
    <w:rsid w:val="006A4A17"/>
  </w:style>
  <w:style w:type="character" w:customStyle="1" w:styleId="VoetnoottekstTeken">
    <w:name w:val="Voetnoottekst Teken"/>
    <w:basedOn w:val="Standaardalinea-lettertype"/>
    <w:link w:val="Voetnoottekst"/>
    <w:uiPriority w:val="99"/>
    <w:rsid w:val="006A4A17"/>
  </w:style>
  <w:style w:type="character" w:styleId="Voetnootmarkering">
    <w:name w:val="footnote reference"/>
    <w:basedOn w:val="Standaardalinea-lettertype"/>
    <w:uiPriority w:val="99"/>
    <w:unhideWhenUsed/>
    <w:rsid w:val="006A4A17"/>
    <w:rPr>
      <w:vertAlign w:val="superscript"/>
    </w:rPr>
  </w:style>
  <w:style w:type="paragraph" w:styleId="Lijstalinea">
    <w:name w:val="List Paragraph"/>
    <w:basedOn w:val="Standaard"/>
    <w:uiPriority w:val="34"/>
    <w:qFormat/>
    <w:rsid w:val="006A4A17"/>
    <w:pPr>
      <w:ind w:left="720"/>
      <w:contextualSpacing/>
    </w:pPr>
    <w:rPr>
      <w:lang w:val="en-GB" w:eastAsia="en-US"/>
    </w:rPr>
  </w:style>
  <w:style w:type="table" w:styleId="Tabelraster">
    <w:name w:val="Table Grid"/>
    <w:basedOn w:val="Standaardtabel"/>
    <w:uiPriority w:val="59"/>
    <w:rsid w:val="009064FC"/>
    <w:rPr>
      <w:lang w:eastAsia="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indnoottekst">
    <w:name w:val="endnote text"/>
    <w:basedOn w:val="Standaard"/>
    <w:link w:val="EindnoottekstTeken"/>
    <w:uiPriority w:val="99"/>
    <w:unhideWhenUsed/>
    <w:rsid w:val="009064FC"/>
  </w:style>
  <w:style w:type="character" w:customStyle="1" w:styleId="EindnoottekstTeken">
    <w:name w:val="Eindnoottekst Teken"/>
    <w:basedOn w:val="Standaardalinea-lettertype"/>
    <w:link w:val="Eindnoottekst"/>
    <w:uiPriority w:val="99"/>
    <w:rsid w:val="009064FC"/>
  </w:style>
  <w:style w:type="character" w:styleId="Eindnootmarkering">
    <w:name w:val="endnote reference"/>
    <w:basedOn w:val="Standaardalinea-lettertype"/>
    <w:uiPriority w:val="99"/>
    <w:unhideWhenUsed/>
    <w:rsid w:val="009064FC"/>
    <w:rPr>
      <w:vertAlign w:val="superscript"/>
    </w:rPr>
  </w:style>
  <w:style w:type="paragraph" w:styleId="Bijschrift">
    <w:name w:val="caption"/>
    <w:basedOn w:val="Standaard"/>
    <w:next w:val="Standaard"/>
    <w:uiPriority w:val="35"/>
    <w:unhideWhenUsed/>
    <w:qFormat/>
    <w:rsid w:val="009064FC"/>
    <w:pPr>
      <w:spacing w:after="200"/>
    </w:pPr>
    <w:rPr>
      <w:b/>
      <w:bCs/>
      <w:color w:val="4472C4" w:themeColor="accent1"/>
      <w:sz w:val="18"/>
      <w:szCs w:val="18"/>
      <w:lang w:val="en-US" w:eastAsia="nl-NL"/>
    </w:rPr>
  </w:style>
  <w:style w:type="paragraph" w:styleId="Koptekst">
    <w:name w:val="header"/>
    <w:basedOn w:val="Standaard"/>
    <w:link w:val="KoptekstTeken"/>
    <w:uiPriority w:val="99"/>
    <w:unhideWhenUsed/>
    <w:rsid w:val="009A7CDF"/>
    <w:pPr>
      <w:tabs>
        <w:tab w:val="center" w:pos="4536"/>
        <w:tab w:val="right" w:pos="9072"/>
      </w:tabs>
    </w:pPr>
  </w:style>
  <w:style w:type="character" w:customStyle="1" w:styleId="KoptekstTeken">
    <w:name w:val="Koptekst Teken"/>
    <w:basedOn w:val="Standaardalinea-lettertype"/>
    <w:link w:val="Koptekst"/>
    <w:uiPriority w:val="99"/>
    <w:rsid w:val="009A7CDF"/>
  </w:style>
  <w:style w:type="paragraph" w:styleId="Voettekst">
    <w:name w:val="footer"/>
    <w:basedOn w:val="Standaard"/>
    <w:link w:val="VoettekstTeken"/>
    <w:uiPriority w:val="99"/>
    <w:unhideWhenUsed/>
    <w:rsid w:val="009A7CDF"/>
    <w:pPr>
      <w:tabs>
        <w:tab w:val="center" w:pos="4536"/>
        <w:tab w:val="right" w:pos="9072"/>
      </w:tabs>
    </w:pPr>
  </w:style>
  <w:style w:type="character" w:customStyle="1" w:styleId="VoettekstTeken">
    <w:name w:val="Voettekst Teken"/>
    <w:basedOn w:val="Standaardalinea-lettertype"/>
    <w:link w:val="Voettekst"/>
    <w:uiPriority w:val="99"/>
    <w:rsid w:val="009A7CDF"/>
  </w:style>
  <w:style w:type="character" w:styleId="Tekstvantijdelijkeaanduiding">
    <w:name w:val="Placeholder Text"/>
    <w:basedOn w:val="Standaardalinea-lettertype"/>
    <w:uiPriority w:val="99"/>
    <w:semiHidden/>
    <w:rsid w:val="00491E17"/>
    <w:rPr>
      <w:color w:val="808080"/>
    </w:rPr>
  </w:style>
  <w:style w:type="character" w:styleId="Paginanummer">
    <w:name w:val="page number"/>
    <w:basedOn w:val="Standaardalinea-lettertype"/>
    <w:uiPriority w:val="99"/>
    <w:semiHidden/>
    <w:unhideWhenUsed/>
    <w:rsid w:val="009565CE"/>
  </w:style>
  <w:style w:type="character" w:customStyle="1" w:styleId="apple-converted-space">
    <w:name w:val="apple-converted-space"/>
    <w:basedOn w:val="Standaardalinea-lettertype"/>
    <w:rsid w:val="004455FB"/>
  </w:style>
  <w:style w:type="character" w:styleId="Verwijzingopmerking">
    <w:name w:val="annotation reference"/>
    <w:basedOn w:val="Standaardalinea-lettertype"/>
    <w:uiPriority w:val="99"/>
    <w:semiHidden/>
    <w:unhideWhenUsed/>
    <w:rsid w:val="008A3AE8"/>
    <w:rPr>
      <w:sz w:val="18"/>
      <w:szCs w:val="18"/>
    </w:rPr>
  </w:style>
  <w:style w:type="paragraph" w:styleId="Tekstopmerking">
    <w:name w:val="annotation text"/>
    <w:basedOn w:val="Standaard"/>
    <w:link w:val="TekstopmerkingTeken"/>
    <w:uiPriority w:val="99"/>
    <w:unhideWhenUsed/>
    <w:rsid w:val="008A3AE8"/>
  </w:style>
  <w:style w:type="character" w:customStyle="1" w:styleId="TekstopmerkingTeken">
    <w:name w:val="Tekst opmerking Teken"/>
    <w:basedOn w:val="Standaardalinea-lettertype"/>
    <w:link w:val="Tekstopmerking"/>
    <w:uiPriority w:val="99"/>
    <w:rsid w:val="008A3AE8"/>
  </w:style>
  <w:style w:type="paragraph" w:styleId="Onderwerpvanopmerking">
    <w:name w:val="annotation subject"/>
    <w:basedOn w:val="Tekstopmerking"/>
    <w:next w:val="Tekstopmerking"/>
    <w:link w:val="OnderwerpvanopmerkingTeken"/>
    <w:uiPriority w:val="99"/>
    <w:semiHidden/>
    <w:unhideWhenUsed/>
    <w:rsid w:val="008A3AE8"/>
    <w:rPr>
      <w:b/>
      <w:bCs/>
    </w:rPr>
  </w:style>
  <w:style w:type="character" w:customStyle="1" w:styleId="OnderwerpvanopmerkingTeken">
    <w:name w:val="Onderwerp van opmerking Teken"/>
    <w:basedOn w:val="TekstopmerkingTeken"/>
    <w:link w:val="Onderwerpvanopmerking"/>
    <w:uiPriority w:val="99"/>
    <w:semiHidden/>
    <w:rsid w:val="008A3AE8"/>
    <w:rPr>
      <w:b/>
      <w:bCs/>
    </w:rPr>
  </w:style>
  <w:style w:type="paragraph" w:styleId="Ballontekst">
    <w:name w:val="Balloon Text"/>
    <w:basedOn w:val="Standaard"/>
    <w:link w:val="BallontekstTeken"/>
    <w:uiPriority w:val="99"/>
    <w:semiHidden/>
    <w:unhideWhenUsed/>
    <w:rsid w:val="008A3AE8"/>
    <w:rPr>
      <w:rFonts w:asciiTheme="majorHAnsi" w:eastAsiaTheme="majorEastAsia" w:hAnsiTheme="majorHAnsi" w:cstheme="majorBidi"/>
      <w:sz w:val="18"/>
      <w:szCs w:val="18"/>
    </w:rPr>
  </w:style>
  <w:style w:type="character" w:customStyle="1" w:styleId="BallontekstTeken">
    <w:name w:val="Ballontekst Teken"/>
    <w:basedOn w:val="Standaardalinea-lettertype"/>
    <w:link w:val="Ballontekst"/>
    <w:uiPriority w:val="99"/>
    <w:semiHidden/>
    <w:rsid w:val="008A3AE8"/>
    <w:rPr>
      <w:rFonts w:asciiTheme="majorHAnsi" w:eastAsiaTheme="majorEastAsia" w:hAnsiTheme="majorHAnsi" w:cstheme="majorBidi"/>
      <w:sz w:val="18"/>
      <w:szCs w:val="18"/>
    </w:rPr>
  </w:style>
  <w:style w:type="paragraph" w:styleId="Revisie">
    <w:name w:val="Revision"/>
    <w:hidden/>
    <w:uiPriority w:val="99"/>
    <w:semiHidden/>
    <w:rsid w:val="00851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288577">
      <w:bodyDiv w:val="1"/>
      <w:marLeft w:val="0"/>
      <w:marRight w:val="0"/>
      <w:marTop w:val="0"/>
      <w:marBottom w:val="0"/>
      <w:divBdr>
        <w:top w:val="none" w:sz="0" w:space="0" w:color="auto"/>
        <w:left w:val="none" w:sz="0" w:space="0" w:color="auto"/>
        <w:bottom w:val="none" w:sz="0" w:space="0" w:color="auto"/>
        <w:right w:val="none" w:sz="0" w:space="0" w:color="auto"/>
      </w:divBdr>
    </w:div>
    <w:div w:id="588923499">
      <w:bodyDiv w:val="1"/>
      <w:marLeft w:val="0"/>
      <w:marRight w:val="0"/>
      <w:marTop w:val="0"/>
      <w:marBottom w:val="0"/>
      <w:divBdr>
        <w:top w:val="none" w:sz="0" w:space="0" w:color="auto"/>
        <w:left w:val="none" w:sz="0" w:space="0" w:color="auto"/>
        <w:bottom w:val="none" w:sz="0" w:space="0" w:color="auto"/>
        <w:right w:val="none" w:sz="0" w:space="0" w:color="auto"/>
      </w:divBdr>
    </w:div>
    <w:div w:id="673841451">
      <w:bodyDiv w:val="1"/>
      <w:marLeft w:val="0"/>
      <w:marRight w:val="0"/>
      <w:marTop w:val="0"/>
      <w:marBottom w:val="0"/>
      <w:divBdr>
        <w:top w:val="none" w:sz="0" w:space="0" w:color="auto"/>
        <w:left w:val="none" w:sz="0" w:space="0" w:color="auto"/>
        <w:bottom w:val="none" w:sz="0" w:space="0" w:color="auto"/>
        <w:right w:val="none" w:sz="0" w:space="0" w:color="auto"/>
      </w:divBdr>
    </w:div>
    <w:div w:id="907496980">
      <w:bodyDiv w:val="1"/>
      <w:marLeft w:val="0"/>
      <w:marRight w:val="0"/>
      <w:marTop w:val="0"/>
      <w:marBottom w:val="0"/>
      <w:divBdr>
        <w:top w:val="none" w:sz="0" w:space="0" w:color="auto"/>
        <w:left w:val="none" w:sz="0" w:space="0" w:color="auto"/>
        <w:bottom w:val="none" w:sz="0" w:space="0" w:color="auto"/>
        <w:right w:val="none" w:sz="0" w:space="0" w:color="auto"/>
      </w:divBdr>
    </w:div>
    <w:div w:id="1250846864">
      <w:bodyDiv w:val="1"/>
      <w:marLeft w:val="0"/>
      <w:marRight w:val="0"/>
      <w:marTop w:val="0"/>
      <w:marBottom w:val="0"/>
      <w:divBdr>
        <w:top w:val="none" w:sz="0" w:space="0" w:color="auto"/>
        <w:left w:val="none" w:sz="0" w:space="0" w:color="auto"/>
        <w:bottom w:val="none" w:sz="0" w:space="0" w:color="auto"/>
        <w:right w:val="none" w:sz="0" w:space="0" w:color="auto"/>
      </w:divBdr>
    </w:div>
    <w:div w:id="1254050020">
      <w:bodyDiv w:val="1"/>
      <w:marLeft w:val="0"/>
      <w:marRight w:val="0"/>
      <w:marTop w:val="0"/>
      <w:marBottom w:val="0"/>
      <w:divBdr>
        <w:top w:val="none" w:sz="0" w:space="0" w:color="auto"/>
        <w:left w:val="none" w:sz="0" w:space="0" w:color="auto"/>
        <w:bottom w:val="none" w:sz="0" w:space="0" w:color="auto"/>
        <w:right w:val="none" w:sz="0" w:space="0" w:color="auto"/>
      </w:divBdr>
    </w:div>
    <w:div w:id="1363020543">
      <w:bodyDiv w:val="1"/>
      <w:marLeft w:val="0"/>
      <w:marRight w:val="0"/>
      <w:marTop w:val="0"/>
      <w:marBottom w:val="0"/>
      <w:divBdr>
        <w:top w:val="none" w:sz="0" w:space="0" w:color="auto"/>
        <w:left w:val="none" w:sz="0" w:space="0" w:color="auto"/>
        <w:bottom w:val="none" w:sz="0" w:space="0" w:color="auto"/>
        <w:right w:val="none" w:sz="0" w:space="0" w:color="auto"/>
      </w:divBdr>
    </w:div>
    <w:div w:id="1511942417">
      <w:bodyDiv w:val="1"/>
      <w:marLeft w:val="0"/>
      <w:marRight w:val="0"/>
      <w:marTop w:val="0"/>
      <w:marBottom w:val="0"/>
      <w:divBdr>
        <w:top w:val="none" w:sz="0" w:space="0" w:color="auto"/>
        <w:left w:val="none" w:sz="0" w:space="0" w:color="auto"/>
        <w:bottom w:val="none" w:sz="0" w:space="0" w:color="auto"/>
        <w:right w:val="none" w:sz="0" w:space="0" w:color="auto"/>
      </w:divBdr>
    </w:div>
    <w:div w:id="1588925901">
      <w:bodyDiv w:val="1"/>
      <w:marLeft w:val="0"/>
      <w:marRight w:val="0"/>
      <w:marTop w:val="0"/>
      <w:marBottom w:val="0"/>
      <w:divBdr>
        <w:top w:val="none" w:sz="0" w:space="0" w:color="auto"/>
        <w:left w:val="none" w:sz="0" w:space="0" w:color="auto"/>
        <w:bottom w:val="none" w:sz="0" w:space="0" w:color="auto"/>
        <w:right w:val="none" w:sz="0" w:space="0" w:color="auto"/>
      </w:divBdr>
    </w:div>
    <w:div w:id="177729145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47F92-50FD-1446-8D80-DFB3E08FA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18</Pages>
  <Words>3511</Words>
  <Characters>19314</Characters>
  <Application>Microsoft Macintosh Word</Application>
  <DocSecurity>0</DocSecurity>
  <Lines>160</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Microsoft Office-gebruiker</cp:lastModifiedBy>
  <cp:revision>8</cp:revision>
  <cp:lastPrinted>2018-08-28T21:10:00Z</cp:lastPrinted>
  <dcterms:created xsi:type="dcterms:W3CDTF">2018-08-28T21:10:00Z</dcterms:created>
  <dcterms:modified xsi:type="dcterms:W3CDTF">2018-08-29T11:07:00Z</dcterms:modified>
</cp:coreProperties>
</file>