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300A2F" w14:textId="436213D7" w:rsidR="00E32580" w:rsidRDefault="00E32580" w:rsidP="00D42E2A">
      <w:pPr>
        <w:jc w:val="center"/>
      </w:pPr>
    </w:p>
    <w:p w14:paraId="249FE6AA" w14:textId="77777777" w:rsidR="00954FD0" w:rsidRPr="00FC51D3" w:rsidRDefault="00954FD0" w:rsidP="00D42E2A">
      <w:pPr>
        <w:jc w:val="center"/>
      </w:pPr>
    </w:p>
    <w:p w14:paraId="250F780A" w14:textId="77777777" w:rsidR="00E32580" w:rsidRPr="00FC51D3" w:rsidRDefault="00E32580" w:rsidP="00D42E2A">
      <w:pPr>
        <w:jc w:val="center"/>
      </w:pPr>
    </w:p>
    <w:p w14:paraId="1A490329" w14:textId="77777777" w:rsidR="00E32580" w:rsidRPr="00FC51D3" w:rsidRDefault="00E32580" w:rsidP="00D42E2A">
      <w:pPr>
        <w:jc w:val="center"/>
      </w:pPr>
    </w:p>
    <w:p w14:paraId="0867D4D4" w14:textId="77777777" w:rsidR="00E32580" w:rsidRPr="00FC51D3" w:rsidRDefault="00E32580" w:rsidP="00D42E2A">
      <w:pPr>
        <w:jc w:val="center"/>
      </w:pPr>
    </w:p>
    <w:p w14:paraId="01F575E1" w14:textId="77777777" w:rsidR="00E32580" w:rsidRPr="00FC51D3" w:rsidRDefault="00E32580" w:rsidP="00D42E2A">
      <w:pPr>
        <w:jc w:val="center"/>
      </w:pPr>
    </w:p>
    <w:p w14:paraId="6B274911" w14:textId="77777777" w:rsidR="00E32580" w:rsidRPr="00FC51D3" w:rsidRDefault="00E32580" w:rsidP="00D42E2A">
      <w:pPr>
        <w:jc w:val="center"/>
      </w:pPr>
    </w:p>
    <w:p w14:paraId="550D8D07" w14:textId="77777777" w:rsidR="00E32580" w:rsidRPr="00FC51D3" w:rsidRDefault="00E32580" w:rsidP="00D42E2A">
      <w:pPr>
        <w:jc w:val="center"/>
      </w:pPr>
    </w:p>
    <w:p w14:paraId="79FD704C" w14:textId="77777777" w:rsidR="00E32580" w:rsidRPr="00FC51D3" w:rsidRDefault="00E32580" w:rsidP="00D42E2A">
      <w:pPr>
        <w:jc w:val="center"/>
      </w:pPr>
    </w:p>
    <w:p w14:paraId="054745A9" w14:textId="77777777" w:rsidR="00E32580" w:rsidRPr="00FC51D3" w:rsidRDefault="00E32580" w:rsidP="00D42E2A">
      <w:pPr>
        <w:jc w:val="center"/>
      </w:pPr>
    </w:p>
    <w:p w14:paraId="5BC2AC6E" w14:textId="77777777" w:rsidR="00E32580" w:rsidRPr="00FC51D3" w:rsidRDefault="00E32580" w:rsidP="00D42E2A">
      <w:pPr>
        <w:jc w:val="center"/>
      </w:pPr>
    </w:p>
    <w:p w14:paraId="6BF82C98" w14:textId="77777777" w:rsidR="00E32580" w:rsidRPr="00FC51D3" w:rsidRDefault="00E32580" w:rsidP="00D42E2A">
      <w:pPr>
        <w:jc w:val="center"/>
      </w:pPr>
    </w:p>
    <w:p w14:paraId="16F48F78" w14:textId="77777777" w:rsidR="00E32580" w:rsidRPr="00FC51D3" w:rsidRDefault="00E32580" w:rsidP="00D42E2A">
      <w:pPr>
        <w:jc w:val="center"/>
      </w:pPr>
    </w:p>
    <w:p w14:paraId="4055CA9A" w14:textId="28B9D00C" w:rsidR="00D42E2A" w:rsidRDefault="00DA054A" w:rsidP="00D42E2A">
      <w:pPr>
        <w:jc w:val="center"/>
        <w:rPr>
          <w:b/>
          <w:bCs/>
        </w:rPr>
      </w:pPr>
      <w:r>
        <w:rPr>
          <w:b/>
          <w:bCs/>
        </w:rPr>
        <w:t xml:space="preserve">Caregiver </w:t>
      </w:r>
      <w:r w:rsidR="00642282">
        <w:rPr>
          <w:b/>
          <w:bCs/>
        </w:rPr>
        <w:t xml:space="preserve">Ratings of </w:t>
      </w:r>
      <w:r w:rsidR="00132FC5">
        <w:rPr>
          <w:b/>
          <w:bCs/>
        </w:rPr>
        <w:t>Toddler</w:t>
      </w:r>
      <w:r w:rsidR="0043785F">
        <w:rPr>
          <w:b/>
          <w:bCs/>
        </w:rPr>
        <w:t xml:space="preserve"> Pain</w:t>
      </w:r>
      <w:r w:rsidR="00E67E37">
        <w:rPr>
          <w:b/>
          <w:bCs/>
        </w:rPr>
        <w:t xml:space="preserve">: </w:t>
      </w:r>
      <w:r w:rsidR="00AC0BFC">
        <w:rPr>
          <w:b/>
          <w:bCs/>
        </w:rPr>
        <w:t xml:space="preserve">The Role of </w:t>
      </w:r>
      <w:r w:rsidR="00E67E37">
        <w:rPr>
          <w:b/>
          <w:bCs/>
        </w:rPr>
        <w:t>Caregiver</w:t>
      </w:r>
      <w:r w:rsidR="009C62FD">
        <w:rPr>
          <w:b/>
          <w:bCs/>
        </w:rPr>
        <w:t xml:space="preserve"> Psychological</w:t>
      </w:r>
      <w:r w:rsidR="00E67E37">
        <w:rPr>
          <w:b/>
          <w:bCs/>
        </w:rPr>
        <w:t xml:space="preserve"> Predictors</w:t>
      </w:r>
    </w:p>
    <w:p w14:paraId="7B6F24D0" w14:textId="5A66CB6E" w:rsidR="00CF1581" w:rsidRDefault="00CF1581" w:rsidP="00D42E2A">
      <w:pPr>
        <w:jc w:val="center"/>
        <w:rPr>
          <w:b/>
          <w:bCs/>
        </w:rPr>
      </w:pPr>
    </w:p>
    <w:p w14:paraId="3497335F" w14:textId="77777777" w:rsidR="00CF1581" w:rsidRPr="00FC51D3" w:rsidRDefault="00CF1581" w:rsidP="00D42E2A">
      <w:pPr>
        <w:jc w:val="center"/>
        <w:rPr>
          <w:b/>
          <w:bCs/>
        </w:rPr>
      </w:pPr>
    </w:p>
    <w:p w14:paraId="7BFCF7AE" w14:textId="32B6D6E2" w:rsidR="00D42E2A" w:rsidRPr="00FC51D3" w:rsidRDefault="00D42E2A" w:rsidP="00D42E2A">
      <w:pPr>
        <w:jc w:val="center"/>
      </w:pPr>
    </w:p>
    <w:p w14:paraId="491B8745" w14:textId="77777777" w:rsidR="00091BB0" w:rsidRDefault="00D42E2A" w:rsidP="00CF1581">
      <w:pPr>
        <w:jc w:val="center"/>
      </w:pPr>
      <w:r w:rsidRPr="00816902">
        <w:t xml:space="preserve">Jessica </w:t>
      </w:r>
      <w:r w:rsidR="00661694" w:rsidRPr="00816902">
        <w:t xml:space="preserve">V. </w:t>
      </w:r>
      <w:r w:rsidRPr="00816902">
        <w:t>Zaffino</w:t>
      </w:r>
      <w:r w:rsidR="000F1847" w:rsidRPr="00816902">
        <w:rPr>
          <w:vertAlign w:val="superscript"/>
        </w:rPr>
        <w:t>1</w:t>
      </w:r>
      <w:r w:rsidR="00A24722" w:rsidRPr="00816902">
        <w:t>,</w:t>
      </w:r>
      <w:r w:rsidR="00446B9A" w:rsidRPr="00816902">
        <w:t xml:space="preserve"> BA,</w:t>
      </w:r>
      <w:r w:rsidR="00912839" w:rsidRPr="00816902">
        <w:t xml:space="preserve"> </w:t>
      </w:r>
      <w:r w:rsidR="00A24722" w:rsidRPr="00816902">
        <w:t>Ilana Shiff</w:t>
      </w:r>
      <w:r w:rsidR="00BB7F42" w:rsidRPr="00816902">
        <w:rPr>
          <w:vertAlign w:val="superscript"/>
        </w:rPr>
        <w:t>2</w:t>
      </w:r>
      <w:r w:rsidR="00A24722" w:rsidRPr="00816902">
        <w:t xml:space="preserve">, </w:t>
      </w:r>
      <w:r w:rsidR="000F1847" w:rsidRPr="00816902">
        <w:t xml:space="preserve">MA, </w:t>
      </w:r>
      <w:r w:rsidR="000F3033" w:rsidRPr="00816902">
        <w:t>Amy</w:t>
      </w:r>
      <w:r w:rsidR="00661694" w:rsidRPr="00816902">
        <w:t xml:space="preserve"> P.</w:t>
      </w:r>
      <w:r w:rsidR="000F3033" w:rsidRPr="00816902">
        <w:t xml:space="preserve"> Stern</w:t>
      </w:r>
      <w:r w:rsidR="00BB7F42" w:rsidRPr="00816902">
        <w:rPr>
          <w:vertAlign w:val="superscript"/>
        </w:rPr>
        <w:t>2</w:t>
      </w:r>
      <w:r w:rsidR="000F3033" w:rsidRPr="00816902">
        <w:t>, BSc</w:t>
      </w:r>
      <w:r w:rsidR="00816902" w:rsidRPr="003A564D">
        <w:t>, Dan Flanders</w:t>
      </w:r>
      <w:r w:rsidR="00816902" w:rsidRPr="003A564D">
        <w:rPr>
          <w:vertAlign w:val="superscript"/>
        </w:rPr>
        <w:t>1</w:t>
      </w:r>
      <w:r w:rsidR="00816902" w:rsidRPr="003A564D">
        <w:t xml:space="preserve">, MD, Eitan </w:t>
      </w:r>
    </w:p>
    <w:p w14:paraId="485A735A" w14:textId="77777777" w:rsidR="00091BB0" w:rsidRDefault="00091BB0" w:rsidP="00CF1581">
      <w:pPr>
        <w:jc w:val="center"/>
      </w:pPr>
    </w:p>
    <w:p w14:paraId="3C9B7B76" w14:textId="3ED27C30" w:rsidR="00091BB0" w:rsidRDefault="00816902" w:rsidP="00CF1581">
      <w:pPr>
        <w:jc w:val="center"/>
      </w:pPr>
      <w:r w:rsidRPr="003A564D">
        <w:t>Weinberg</w:t>
      </w:r>
      <w:r w:rsidRPr="003A564D">
        <w:rPr>
          <w:vertAlign w:val="superscript"/>
        </w:rPr>
        <w:t>1</w:t>
      </w:r>
      <w:r w:rsidRPr="003A564D">
        <w:t>, MD, Deena Savlov</w:t>
      </w:r>
      <w:r w:rsidRPr="003A564D">
        <w:rPr>
          <w:vertAlign w:val="superscript"/>
        </w:rPr>
        <w:t>1</w:t>
      </w:r>
      <w:r w:rsidRPr="003A564D">
        <w:t>, MD, Hartley Garfield, MD</w:t>
      </w:r>
      <w:r w:rsidRPr="003A564D">
        <w:rPr>
          <w:vertAlign w:val="superscript"/>
        </w:rPr>
        <w:t>1,3</w:t>
      </w:r>
      <w:r w:rsidRPr="003A564D">
        <w:t xml:space="preserve">, </w:t>
      </w:r>
      <w:r w:rsidR="006E03B3" w:rsidRPr="00816902">
        <w:t xml:space="preserve">&amp; </w:t>
      </w:r>
      <w:r w:rsidR="00A24722" w:rsidRPr="00816902">
        <w:t>Rebecca Pillai Riddell</w:t>
      </w:r>
      <w:r w:rsidR="000F1847" w:rsidRPr="00816902">
        <w:rPr>
          <w:vertAlign w:val="superscript"/>
        </w:rPr>
        <w:t>1,2,3</w:t>
      </w:r>
      <w:r w:rsidR="000F1847" w:rsidRPr="00816902">
        <w:t xml:space="preserve">, </w:t>
      </w:r>
    </w:p>
    <w:p w14:paraId="4C407527" w14:textId="77777777" w:rsidR="00091BB0" w:rsidRDefault="00091BB0" w:rsidP="00CF1581">
      <w:pPr>
        <w:jc w:val="center"/>
      </w:pPr>
    </w:p>
    <w:p w14:paraId="6D84F5EA" w14:textId="3808FF8C" w:rsidR="000F1847" w:rsidRDefault="000F1847" w:rsidP="00CF1581">
      <w:pPr>
        <w:jc w:val="center"/>
      </w:pPr>
      <w:r w:rsidRPr="00816902">
        <w:t>PhD</w:t>
      </w:r>
    </w:p>
    <w:p w14:paraId="0EF4B7C4" w14:textId="77777777" w:rsidR="000F1847" w:rsidRDefault="000F1847"/>
    <w:p w14:paraId="5275EAB0" w14:textId="5AC84312" w:rsidR="00BB7F42" w:rsidRPr="00BB7F42" w:rsidRDefault="00BB7F42" w:rsidP="00BB7F42">
      <w:pPr>
        <w:spacing w:line="480" w:lineRule="auto"/>
        <w:jc w:val="center"/>
      </w:pPr>
      <w:r>
        <w:rPr>
          <w:vertAlign w:val="superscript"/>
        </w:rPr>
        <w:t>1</w:t>
      </w:r>
      <w:r>
        <w:t>University of Toronto, Toronto, Canada</w:t>
      </w:r>
    </w:p>
    <w:p w14:paraId="2A5FC56B" w14:textId="5C92F31C" w:rsidR="000F1847" w:rsidRDefault="00BB7F42" w:rsidP="000F1847">
      <w:pPr>
        <w:spacing w:line="480" w:lineRule="auto"/>
        <w:jc w:val="center"/>
      </w:pPr>
      <w:r>
        <w:rPr>
          <w:vertAlign w:val="superscript"/>
        </w:rPr>
        <w:t>2</w:t>
      </w:r>
      <w:r w:rsidR="000F1847">
        <w:t>York University, Toronto, Canada</w:t>
      </w:r>
    </w:p>
    <w:p w14:paraId="6AE9C6FD" w14:textId="48B13FD4" w:rsidR="000F1847" w:rsidRDefault="00BB7F42" w:rsidP="000F1847">
      <w:pPr>
        <w:spacing w:line="480" w:lineRule="auto"/>
        <w:jc w:val="center"/>
      </w:pPr>
      <w:r>
        <w:rPr>
          <w:vertAlign w:val="superscript"/>
        </w:rPr>
        <w:t>3</w:t>
      </w:r>
      <w:r w:rsidR="000F1847">
        <w:t>Hospital for Sick Children, Toronto, Canada</w:t>
      </w:r>
    </w:p>
    <w:p w14:paraId="4C8BBD6C" w14:textId="77777777" w:rsidR="00FC61F0" w:rsidRDefault="00FC61F0" w:rsidP="00FC61F0">
      <w:pPr>
        <w:spacing w:line="480" w:lineRule="auto"/>
        <w:jc w:val="center"/>
      </w:pPr>
    </w:p>
    <w:p w14:paraId="0B94102E" w14:textId="77777777" w:rsidR="00FC61F0" w:rsidRDefault="00FC61F0" w:rsidP="00FC61F0">
      <w:pPr>
        <w:spacing w:line="480" w:lineRule="auto"/>
        <w:jc w:val="center"/>
      </w:pPr>
    </w:p>
    <w:p w14:paraId="32C134DE" w14:textId="77777777" w:rsidR="00FC61F0" w:rsidRDefault="00FC61F0" w:rsidP="00FC61F0">
      <w:pPr>
        <w:spacing w:line="480" w:lineRule="auto"/>
        <w:jc w:val="center"/>
      </w:pPr>
    </w:p>
    <w:p w14:paraId="199BA76B" w14:textId="77777777" w:rsidR="00FC61F0" w:rsidRDefault="00FC61F0" w:rsidP="00FC61F0">
      <w:pPr>
        <w:spacing w:line="480" w:lineRule="auto"/>
        <w:jc w:val="center"/>
      </w:pPr>
    </w:p>
    <w:p w14:paraId="27568349" w14:textId="77777777" w:rsidR="00FC61F0" w:rsidRDefault="00FC61F0" w:rsidP="00FC61F0">
      <w:pPr>
        <w:spacing w:line="480" w:lineRule="auto"/>
        <w:jc w:val="center"/>
        <w:rPr>
          <w:b/>
          <w:bCs/>
        </w:rPr>
      </w:pPr>
      <w:r w:rsidRPr="00FC61F0">
        <w:rPr>
          <w:b/>
          <w:bCs/>
        </w:rPr>
        <w:t>Author Note</w:t>
      </w:r>
    </w:p>
    <w:p w14:paraId="63BABC2F" w14:textId="3563B46D" w:rsidR="00FC61F0" w:rsidRDefault="00FC61F0" w:rsidP="00FC61F0">
      <w:pPr>
        <w:spacing w:line="480" w:lineRule="auto"/>
      </w:pPr>
      <w:r>
        <w:t>We have no conflicts of interest to disclose.</w:t>
      </w:r>
    </w:p>
    <w:p w14:paraId="2F325993" w14:textId="1AE96F63" w:rsidR="00FC61F0" w:rsidRPr="00FC61F0" w:rsidRDefault="00FC61F0" w:rsidP="00FC61F0">
      <w:pPr>
        <w:spacing w:line="480" w:lineRule="auto"/>
        <w:rPr>
          <w:b/>
          <w:bCs/>
        </w:rPr>
      </w:pPr>
      <w:r>
        <w:t xml:space="preserve">Correspondence concerning this article should be addressed to Rebecca Pillai Riddell, 4700 </w:t>
      </w:r>
      <w:proofErr w:type="spellStart"/>
      <w:r>
        <w:t>Keele</w:t>
      </w:r>
      <w:proofErr w:type="spellEnd"/>
      <w:r>
        <w:t xml:space="preserve"> St, Toronto ON M3J 1P3. Email: rpr@yorku.ca</w:t>
      </w:r>
      <w:r w:rsidR="001F0469" w:rsidRPr="00FC61F0">
        <w:rPr>
          <w:b/>
          <w:bCs/>
        </w:rPr>
        <w:br w:type="page"/>
      </w:r>
    </w:p>
    <w:p w14:paraId="391C9B21" w14:textId="3B68C6BF" w:rsidR="00E32580" w:rsidRDefault="001F0469" w:rsidP="00CB0AED">
      <w:pPr>
        <w:spacing w:line="480" w:lineRule="auto"/>
        <w:jc w:val="center"/>
        <w:rPr>
          <w:b/>
          <w:bCs/>
        </w:rPr>
      </w:pPr>
      <w:r w:rsidRPr="001F0469">
        <w:rPr>
          <w:b/>
          <w:bCs/>
        </w:rPr>
        <w:lastRenderedPageBreak/>
        <w:t>Abstract</w:t>
      </w:r>
    </w:p>
    <w:p w14:paraId="57B20668" w14:textId="3D9A8A2B" w:rsidR="00C1679B" w:rsidRPr="00C1679B" w:rsidRDefault="00C1679B" w:rsidP="00C1679B">
      <w:pPr>
        <w:spacing w:line="480" w:lineRule="auto"/>
        <w:rPr>
          <w:b/>
          <w:bCs/>
        </w:rPr>
      </w:pPr>
      <w:r w:rsidRPr="00C1679B">
        <w:rPr>
          <w:b/>
          <w:bCs/>
        </w:rPr>
        <w:t>Introduction/Aim:</w:t>
      </w:r>
      <w:r>
        <w:rPr>
          <w:b/>
          <w:bCs/>
        </w:rPr>
        <w:t xml:space="preserve"> </w:t>
      </w:r>
      <w:r w:rsidR="008F2D16">
        <w:t xml:space="preserve">Young </w:t>
      </w:r>
      <w:r w:rsidR="008F2D16" w:rsidRPr="00C1679B">
        <w:t>children’s limited ability to self-report pain</w:t>
      </w:r>
      <w:r w:rsidR="008F2D16">
        <w:t xml:space="preserve"> necessitates an</w:t>
      </w:r>
      <w:r w:rsidR="008F2D16" w:rsidRPr="00C1679B">
        <w:t xml:space="preserve"> understanding</w:t>
      </w:r>
      <w:r w:rsidR="008F2D16">
        <w:t xml:space="preserve"> of</w:t>
      </w:r>
      <w:r w:rsidR="008F2D16" w:rsidRPr="00C1679B">
        <w:t xml:space="preserve"> the factors that influence pain ratings</w:t>
      </w:r>
      <w:r w:rsidR="008F2D16">
        <w:t xml:space="preserve">. The current paper examines the relative prediction of </w:t>
      </w:r>
      <w:r w:rsidR="00EE294C">
        <w:t>caregiver</w:t>
      </w:r>
      <w:r w:rsidR="008F2D16">
        <w:t xml:space="preserve"> </w:t>
      </w:r>
      <w:r w:rsidR="00FB6771">
        <w:t>psychological</w:t>
      </w:r>
      <w:r w:rsidR="008F2D16">
        <w:t xml:space="preserve"> factors and toddler pain behaviours on </w:t>
      </w:r>
      <w:r w:rsidR="009710FE">
        <w:t xml:space="preserve">caregiver </w:t>
      </w:r>
      <w:r w:rsidR="008F2D16">
        <w:t xml:space="preserve">pain ratings post-vaccination. </w:t>
      </w:r>
    </w:p>
    <w:p w14:paraId="2B44C449" w14:textId="51A4884C" w:rsidR="00C1679B" w:rsidRPr="00C1679B" w:rsidRDefault="00C1679B" w:rsidP="005826E3">
      <w:pPr>
        <w:spacing w:line="480" w:lineRule="auto"/>
        <w:rPr>
          <w:b/>
          <w:bCs/>
        </w:rPr>
      </w:pPr>
      <w:r w:rsidRPr="00C1679B">
        <w:rPr>
          <w:b/>
          <w:bCs/>
        </w:rPr>
        <w:t>Methods:</w:t>
      </w:r>
      <w:r>
        <w:rPr>
          <w:b/>
          <w:bCs/>
        </w:rPr>
        <w:t xml:space="preserve"> </w:t>
      </w:r>
      <w:r>
        <w:t>O</w:t>
      </w:r>
      <w:r w:rsidRPr="00C1679B">
        <w:t>ne hundred and fifty-six parent-</w:t>
      </w:r>
      <w:r w:rsidR="009E3A24">
        <w:t>toddler</w:t>
      </w:r>
      <w:r w:rsidR="009E3A24" w:rsidRPr="00C1679B">
        <w:t xml:space="preserve"> </w:t>
      </w:r>
      <w:r w:rsidRPr="00C1679B">
        <w:t xml:space="preserve">dyads </w:t>
      </w:r>
      <w:r w:rsidR="001B02B9">
        <w:t>were video recorded during</w:t>
      </w:r>
      <w:r w:rsidR="001B02B9" w:rsidRPr="00C1679B">
        <w:t xml:space="preserve"> </w:t>
      </w:r>
      <w:r w:rsidRPr="00C1679B">
        <w:t>pediatric vaccinations</w:t>
      </w:r>
      <w:r w:rsidR="001B02B9">
        <w:t xml:space="preserve">. </w:t>
      </w:r>
      <w:r w:rsidRPr="00C1679B">
        <w:t xml:space="preserve">Child pain behaviours were coded </w:t>
      </w:r>
      <w:r w:rsidR="001B02B9" w:rsidRPr="00C1679B">
        <w:t xml:space="preserve">before, during, and after the needle </w:t>
      </w:r>
      <w:r w:rsidRPr="00C1679B">
        <w:t xml:space="preserve">using the Face, Legs, Activity, Cry, </w:t>
      </w:r>
      <w:proofErr w:type="spellStart"/>
      <w:r w:rsidRPr="00C1679B">
        <w:t>Consolability</w:t>
      </w:r>
      <w:proofErr w:type="spellEnd"/>
      <w:r w:rsidRPr="00C1679B">
        <w:t xml:space="preserve"> Scale (FLACC; Merkel et al., 2002) and the Neonatal Facial Coding System (NFCS; Grunau &amp; Craig, 1987). Caregivers rated their child's pain after the needle</w:t>
      </w:r>
      <w:r w:rsidR="00CC1A1F">
        <w:t xml:space="preserve">, </w:t>
      </w:r>
      <w:r w:rsidRPr="00C1679B">
        <w:t xml:space="preserve">reported </w:t>
      </w:r>
      <w:r w:rsidR="00CC1A1F">
        <w:t>pre- and post-needle worry during the visit, and completed rating scales assessing other areas of psychological</w:t>
      </w:r>
      <w:r w:rsidR="00BC017A">
        <w:t xml:space="preserve"> functioning</w:t>
      </w:r>
      <w:r w:rsidRPr="00C1679B">
        <w:t xml:space="preserve"> </w:t>
      </w:r>
      <w:r w:rsidR="001F086E">
        <w:t xml:space="preserve">within </w:t>
      </w:r>
      <w:r w:rsidRPr="00C1679B">
        <w:t xml:space="preserve">2 weeks </w:t>
      </w:r>
      <w:r w:rsidR="00CC1A1F">
        <w:t>after</w:t>
      </w:r>
      <w:r w:rsidRPr="00C1679B">
        <w:t xml:space="preserve"> the appointment</w:t>
      </w:r>
      <w:r w:rsidR="00851AE1">
        <w:t xml:space="preserve">. </w:t>
      </w:r>
      <w:r w:rsidR="001950D5">
        <w:t>R</w:t>
      </w:r>
      <w:r w:rsidR="005826E3">
        <w:t xml:space="preserve">egression models </w:t>
      </w:r>
      <w:r w:rsidR="005826E3" w:rsidRPr="004A6035">
        <w:t xml:space="preserve">were </w:t>
      </w:r>
      <w:r w:rsidR="005826E3">
        <w:t xml:space="preserve">estimated </w:t>
      </w:r>
      <w:r w:rsidR="005826E3" w:rsidRPr="004A6035">
        <w:t xml:space="preserve">to </w:t>
      </w:r>
      <w:r w:rsidR="005826E3">
        <w:t>examine the relative contribution of child and caregiver factors to the prediction of caregiver pain ratings.</w:t>
      </w:r>
    </w:p>
    <w:p w14:paraId="7233BAB3" w14:textId="0CF9B893" w:rsidR="00C1679B" w:rsidRPr="00C1679B" w:rsidRDefault="00C1679B" w:rsidP="00C1679B">
      <w:pPr>
        <w:spacing w:line="480" w:lineRule="auto"/>
        <w:rPr>
          <w:b/>
          <w:bCs/>
        </w:rPr>
      </w:pPr>
      <w:r w:rsidRPr="00C1679B">
        <w:rPr>
          <w:b/>
          <w:bCs/>
        </w:rPr>
        <w:t>Results:</w:t>
      </w:r>
      <w:r>
        <w:rPr>
          <w:b/>
          <w:bCs/>
        </w:rPr>
        <w:t xml:space="preserve"> </w:t>
      </w:r>
      <w:r w:rsidRPr="00C1679B">
        <w:t>The regression model</w:t>
      </w:r>
      <w:r w:rsidR="001950D5">
        <w:t xml:space="preserve"> </w:t>
      </w:r>
      <w:r w:rsidRPr="00C1679B">
        <w:t>predict</w:t>
      </w:r>
      <w:r w:rsidR="001950D5">
        <w:t>ing caregiver pain ratings</w:t>
      </w:r>
      <w:r w:rsidRPr="00C1679B">
        <w:t xml:space="preserve"> from the </w:t>
      </w:r>
      <w:r w:rsidR="009E3A24">
        <w:t>toddlers’</w:t>
      </w:r>
      <w:r w:rsidR="001950D5">
        <w:t xml:space="preserve"> pain-related distress (facial activity immediately after the needle, overall pain-related behaviour immediately after, 1-minute and 2-minutes post-needle) and caregiver worry </w:t>
      </w:r>
      <w:r w:rsidR="00BF55CE">
        <w:t>were</w:t>
      </w:r>
      <w:r w:rsidR="001950D5">
        <w:t xml:space="preserve"> significant</w:t>
      </w:r>
      <w:r w:rsidRPr="00C1679B">
        <w:t xml:space="preserve"> (</w:t>
      </w:r>
      <w:r w:rsidR="00851AE1">
        <w:t xml:space="preserve">adjusted </w:t>
      </w:r>
      <w:r w:rsidRPr="00C1679B">
        <w:t>R-square = 0. 2</w:t>
      </w:r>
      <w:r w:rsidR="00851AE1">
        <w:t>1</w:t>
      </w:r>
      <w:r w:rsidRPr="00C1679B">
        <w:t xml:space="preserve">), </w:t>
      </w:r>
      <w:r w:rsidR="001950D5">
        <w:t xml:space="preserve">with </w:t>
      </w:r>
      <w:r w:rsidRPr="00C1679B">
        <w:t xml:space="preserve">caregiver pre- and post-needle worry </w:t>
      </w:r>
      <w:r w:rsidR="001950D5">
        <w:t>being</w:t>
      </w:r>
      <w:r w:rsidRPr="00C1679B">
        <w:t xml:space="preserve"> the </w:t>
      </w:r>
      <w:r w:rsidR="00FB6771">
        <w:t xml:space="preserve">only </w:t>
      </w:r>
      <w:r w:rsidR="001950D5">
        <w:t>significant</w:t>
      </w:r>
      <w:r w:rsidR="001950D5" w:rsidRPr="00C1679B">
        <w:t xml:space="preserve"> </w:t>
      </w:r>
      <w:r w:rsidRPr="00C1679B">
        <w:t xml:space="preserve">predictors </w:t>
      </w:r>
      <w:r w:rsidR="001950D5">
        <w:t>of caregiver pain ratings</w:t>
      </w:r>
      <w:r w:rsidRPr="00C1679B">
        <w:t xml:space="preserve">. </w:t>
      </w:r>
    </w:p>
    <w:p w14:paraId="7C032175" w14:textId="5550648A" w:rsidR="00C1679B" w:rsidRPr="00C1679B" w:rsidRDefault="00C76F0E" w:rsidP="00C76F0E">
      <w:pPr>
        <w:spacing w:line="480" w:lineRule="auto"/>
      </w:pPr>
      <w:r>
        <w:rPr>
          <w:b/>
          <w:bCs/>
        </w:rPr>
        <w:t>Conclusions:</w:t>
      </w:r>
      <w:r w:rsidR="008D7A85">
        <w:rPr>
          <w:b/>
          <w:bCs/>
        </w:rPr>
        <w:t xml:space="preserve"> </w:t>
      </w:r>
      <w:r w:rsidR="008D7A85">
        <w:t>This study</w:t>
      </w:r>
      <w:r w:rsidR="00CD392C">
        <w:t xml:space="preserve"> outlines</w:t>
      </w:r>
      <w:r w:rsidR="008D7A85">
        <w:t xml:space="preserve"> </w:t>
      </w:r>
      <w:r w:rsidR="00CD392C">
        <w:t>that although child distress behaviour remains a significant influence on pain ratings</w:t>
      </w:r>
      <w:r w:rsidR="001A3FAF">
        <w:t xml:space="preserve"> during toddlerhood</w:t>
      </w:r>
      <w:r w:rsidR="00CD392C">
        <w:t xml:space="preserve">, </w:t>
      </w:r>
      <w:r w:rsidR="00FB6771">
        <w:t xml:space="preserve">when </w:t>
      </w:r>
      <w:r w:rsidR="00CD392C">
        <w:t>caregiver worry</w:t>
      </w:r>
      <w:r w:rsidR="00FB6771">
        <w:t xml:space="preserve"> (pre- and post-needle) </w:t>
      </w:r>
      <w:r w:rsidR="00BF55CE">
        <w:t>was</w:t>
      </w:r>
      <w:r w:rsidR="00FB6771">
        <w:t xml:space="preserve"> </w:t>
      </w:r>
      <w:r w:rsidR="00C85D45">
        <w:t>entered</w:t>
      </w:r>
      <w:r w:rsidR="00FB6771">
        <w:t xml:space="preserve"> into the model, they were the only significant predictors of </w:t>
      </w:r>
      <w:r w:rsidR="007D763A">
        <w:t>caregiver</w:t>
      </w:r>
      <w:r w:rsidR="001A3FAF">
        <w:t xml:space="preserve"> </w:t>
      </w:r>
      <w:r w:rsidR="00F61E62">
        <w:t>pain ratings</w:t>
      </w:r>
      <w:r w:rsidR="001A3FAF">
        <w:t>.</w:t>
      </w:r>
      <w:r w:rsidR="00C1679B">
        <w:t xml:space="preserve"> </w:t>
      </w:r>
    </w:p>
    <w:p w14:paraId="34DF7143" w14:textId="1D300B4D" w:rsidR="00A24722" w:rsidRPr="00875397" w:rsidRDefault="00C76F0E" w:rsidP="00875397">
      <w:pPr>
        <w:spacing w:line="480" w:lineRule="auto"/>
      </w:pPr>
      <w:r>
        <w:rPr>
          <w:b/>
          <w:bCs/>
        </w:rPr>
        <w:t>Key Words:</w:t>
      </w:r>
      <w:r w:rsidR="009759B7">
        <w:rPr>
          <w:b/>
          <w:bCs/>
        </w:rPr>
        <w:t xml:space="preserve"> </w:t>
      </w:r>
      <w:r w:rsidR="00962F82">
        <w:t>Infancy and Early Childhood, Parents, Acute Pain</w:t>
      </w:r>
      <w:r w:rsidR="003F1FEC">
        <w:t>, Parent Psychosocial Functioning</w:t>
      </w:r>
    </w:p>
    <w:p w14:paraId="56494B34" w14:textId="6370D942" w:rsidR="00A24722" w:rsidRDefault="00A24722" w:rsidP="00A24722">
      <w:pPr>
        <w:jc w:val="center"/>
        <w:rPr>
          <w:b/>
          <w:bCs/>
        </w:rPr>
      </w:pPr>
      <w:r>
        <w:rPr>
          <w:b/>
          <w:bCs/>
        </w:rPr>
        <w:lastRenderedPageBreak/>
        <w:t>Introduction</w:t>
      </w:r>
    </w:p>
    <w:p w14:paraId="7B4B9343" w14:textId="1D5D6CD3" w:rsidR="00A24722" w:rsidRDefault="00A24722" w:rsidP="00A24722">
      <w:pPr>
        <w:jc w:val="center"/>
        <w:rPr>
          <w:b/>
          <w:bCs/>
        </w:rPr>
      </w:pPr>
    </w:p>
    <w:p w14:paraId="0F930BE0" w14:textId="55B840C0" w:rsidR="00C46DC4" w:rsidRDefault="00A24722" w:rsidP="00C46DC4">
      <w:pPr>
        <w:spacing w:line="480" w:lineRule="auto"/>
        <w:ind w:firstLine="720"/>
      </w:pPr>
      <w:r w:rsidRPr="00137E54">
        <w:t xml:space="preserve">Caregivers play a crucial role in their young children’s experience of pain (Pillai Riddell &amp; Racine, 2009). The Development of Infant Acute Pain Responding- Revised Model </w:t>
      </w:r>
      <w:r w:rsidR="00FB6771">
        <w:t>(</w:t>
      </w:r>
      <w:r w:rsidRPr="00137E54">
        <w:t>DIAPR-R 2022</w:t>
      </w:r>
      <w:r w:rsidR="00E67E37">
        <w:t xml:space="preserve">; Pillai Riddell et al., </w:t>
      </w:r>
      <w:r w:rsidR="008F2D16">
        <w:t>2022</w:t>
      </w:r>
      <w:r w:rsidR="00FB6771">
        <w:t xml:space="preserve">; </w:t>
      </w:r>
      <w:r w:rsidR="001C7673">
        <w:t xml:space="preserve">see </w:t>
      </w:r>
      <w:r w:rsidR="00E176F0">
        <w:t>Figure 1</w:t>
      </w:r>
      <w:r w:rsidR="00FB6771">
        <w:t>)</w:t>
      </w:r>
      <w:r w:rsidRPr="00137E54">
        <w:t xml:space="preserve"> outlines the dyadic feedback loops through which caregivers influence child pain responding. </w:t>
      </w:r>
      <w:r w:rsidR="008F2D16">
        <w:t>C</w:t>
      </w:r>
      <w:r w:rsidRPr="00137E54">
        <w:t xml:space="preserve">aregivers’ </w:t>
      </w:r>
      <w:r w:rsidR="008F2D16">
        <w:t>emotional state can</w:t>
      </w:r>
      <w:r w:rsidRPr="00137E54">
        <w:t xml:space="preserve"> trigger their own physiological</w:t>
      </w:r>
      <w:r w:rsidR="008F2D16">
        <w:t xml:space="preserve"> and cognitive</w:t>
      </w:r>
      <w:r w:rsidRPr="00137E54">
        <w:t xml:space="preserve"> </w:t>
      </w:r>
      <w:r w:rsidR="008F2D16">
        <w:t>responses</w:t>
      </w:r>
      <w:r w:rsidR="008F2D16" w:rsidRPr="00137E54">
        <w:t xml:space="preserve"> </w:t>
      </w:r>
      <w:r w:rsidRPr="00137E54">
        <w:t xml:space="preserve">to their child’s pain-related distress, informing how they assess their child’s pain and ultimately the pain-management strategies that they enact. </w:t>
      </w:r>
      <w:r w:rsidR="008F2D16">
        <w:t xml:space="preserve">When examining pain assessment, </w:t>
      </w:r>
      <w:r w:rsidRPr="00137E54">
        <w:t xml:space="preserve">caregiver judgements of their children’s pain are </w:t>
      </w:r>
      <w:r w:rsidR="00D45C4D">
        <w:t>critical</w:t>
      </w:r>
      <w:r w:rsidR="00D45C4D" w:rsidRPr="00137E54">
        <w:t xml:space="preserve"> </w:t>
      </w:r>
      <w:r w:rsidRPr="00137E54">
        <w:t xml:space="preserve">to </w:t>
      </w:r>
      <w:r w:rsidR="00D45C4D">
        <w:t>understanding children’s pain experiences given</w:t>
      </w:r>
      <w:r w:rsidR="004C39D2">
        <w:t xml:space="preserve"> </w:t>
      </w:r>
      <w:r w:rsidR="00D45C4D">
        <w:t xml:space="preserve">their </w:t>
      </w:r>
      <w:r w:rsidRPr="00137E54">
        <w:t xml:space="preserve">limited ability to self-report pain. </w:t>
      </w:r>
      <w:r w:rsidR="00C46DC4">
        <w:t xml:space="preserve"> </w:t>
      </w:r>
    </w:p>
    <w:p w14:paraId="272451F0" w14:textId="5B65673F" w:rsidR="00DA734C" w:rsidRPr="00137E54" w:rsidRDefault="00C46DC4" w:rsidP="00DA734C">
      <w:pPr>
        <w:spacing w:line="480" w:lineRule="auto"/>
        <w:ind w:firstLine="720"/>
      </w:pPr>
      <w:r>
        <w:t xml:space="preserve">Misunderstanding child pain experiences such that caregivers or health care workers over- or under-estimate a child’s pain, may impact </w:t>
      </w:r>
      <w:r w:rsidR="00C46EAC">
        <w:t xml:space="preserve">both development and </w:t>
      </w:r>
      <w:r>
        <w:t xml:space="preserve">the care that the child receives. </w:t>
      </w:r>
      <w:r w:rsidR="00C46EAC">
        <w:t xml:space="preserve">In chronic pain or more repetitive acute pain, inadequate responses to child pain due to misinterpretations of that pain could lead to lifelong psychological and physiological consequences for the child (i.e., abnormal brain development, lower cognitive function, increased pain sensitivity, behavioural problems, coping skills, etc.; Anand et al., 1997; Fitzgerald, 2005; </w:t>
      </w:r>
      <w:r w:rsidR="00C46EAC" w:rsidRPr="002959DC">
        <w:t>Grunau</w:t>
      </w:r>
      <w:r w:rsidR="00C46EAC">
        <w:t xml:space="preserve"> et al., 2009; </w:t>
      </w:r>
      <w:proofErr w:type="spellStart"/>
      <w:r w:rsidR="00C46EAC">
        <w:t>Vinall</w:t>
      </w:r>
      <w:proofErr w:type="spellEnd"/>
      <w:r w:rsidR="00C46EAC">
        <w:t xml:space="preserve"> &amp; Grunau, 2014). Moreover, in the acute pain context, </w:t>
      </w:r>
      <w:r>
        <w:t xml:space="preserve">underestimating child pain can impact pain management strategies (Pillai Riddell et al., 2022), whereas overestimating and catastrophizing </w:t>
      </w:r>
      <w:r w:rsidR="00C46EAC">
        <w:t xml:space="preserve">about </w:t>
      </w:r>
      <w:r>
        <w:t xml:space="preserve">child pain can increase parents’ </w:t>
      </w:r>
      <w:r w:rsidR="00C46EAC">
        <w:t>anxiety also reducing their ability to manage acute pain</w:t>
      </w:r>
      <w:r>
        <w:t xml:space="preserve"> (</w:t>
      </w:r>
      <w:proofErr w:type="spellStart"/>
      <w:r w:rsidR="00312675">
        <w:t>Gennis</w:t>
      </w:r>
      <w:proofErr w:type="spellEnd"/>
      <w:r w:rsidR="00312675">
        <w:t xml:space="preserve"> </w:t>
      </w:r>
      <w:r>
        <w:t xml:space="preserve">et al., </w:t>
      </w:r>
      <w:r w:rsidR="00312675">
        <w:t>2018</w:t>
      </w:r>
      <w:r>
        <w:t xml:space="preserve">).  </w:t>
      </w:r>
      <w:r w:rsidR="00312675">
        <w:t xml:space="preserve">Thus, caregiver pain judgements are </w:t>
      </w:r>
      <w:r w:rsidR="00DA734C">
        <w:t>an essential topic to address.</w:t>
      </w:r>
    </w:p>
    <w:p w14:paraId="01D15A08" w14:textId="54E4786B" w:rsidR="00063AB2" w:rsidRDefault="00A24722" w:rsidP="00063AB2">
      <w:pPr>
        <w:spacing w:line="480" w:lineRule="auto"/>
        <w:ind w:firstLine="720"/>
      </w:pPr>
      <w:r w:rsidRPr="00137E54">
        <w:t xml:space="preserve">Importantly, research has challenged the </w:t>
      </w:r>
      <w:r w:rsidR="00D45C4D">
        <w:t>accuracy</w:t>
      </w:r>
      <w:r w:rsidR="00D45C4D" w:rsidRPr="00137E54">
        <w:t xml:space="preserve"> </w:t>
      </w:r>
      <w:r w:rsidRPr="00137E54">
        <w:t xml:space="preserve">of parental </w:t>
      </w:r>
      <w:r w:rsidR="00312675">
        <w:t xml:space="preserve">acute </w:t>
      </w:r>
      <w:r w:rsidRPr="00137E54">
        <w:t xml:space="preserve">pain judgements by illustrating </w:t>
      </w:r>
      <w:r w:rsidR="008F2D16">
        <w:t>a number</w:t>
      </w:r>
      <w:r w:rsidRPr="00137E54">
        <w:t xml:space="preserve"> of factors, other than child pain behaviour, that can influence their pain ratings (Pillai Riddell et al., 2022</w:t>
      </w:r>
      <w:r w:rsidR="00D45C4D">
        <w:t>)</w:t>
      </w:r>
      <w:r w:rsidR="004C39D2">
        <w:t xml:space="preserve">. </w:t>
      </w:r>
      <w:r w:rsidR="008F2D16">
        <w:t xml:space="preserve"> </w:t>
      </w:r>
      <w:r w:rsidR="00063AB2">
        <w:t>One would assume that parental pain ratings post-</w:t>
      </w:r>
      <w:r w:rsidR="00063AB2">
        <w:lastRenderedPageBreak/>
        <w:t xml:space="preserve">vaccination should be predominantly </w:t>
      </w:r>
      <w:r w:rsidR="00312675">
        <w:t xml:space="preserve">determined </w:t>
      </w:r>
      <w:r w:rsidR="00063AB2">
        <w:t>by the child’s pain behaviour. However, longitudinal work with infants (Pillai Riddell et al., 2014) and pre-schoolers (</w:t>
      </w:r>
      <w:proofErr w:type="spellStart"/>
      <w:r w:rsidR="00063AB2">
        <w:t>Mamedova</w:t>
      </w:r>
      <w:proofErr w:type="spellEnd"/>
      <w:r w:rsidR="00063AB2">
        <w:t xml:space="preserve"> et al., 2019) showed this was not the case. Infant</w:t>
      </w:r>
      <w:r w:rsidRPr="00137E54">
        <w:t xml:space="preserve"> pain behaviour only explained 18 – 36% of the variance</w:t>
      </w:r>
      <w:r w:rsidR="00235C47">
        <w:t xml:space="preserve"> in</w:t>
      </w:r>
      <w:r w:rsidR="00063AB2">
        <w:t xml:space="preserve"> parental pain ratings </w:t>
      </w:r>
      <w:r w:rsidR="00235C47">
        <w:t xml:space="preserve">and similarly 28% of the variance in parent pain judgments </w:t>
      </w:r>
      <w:r w:rsidR="00312675">
        <w:t>of</w:t>
      </w:r>
      <w:r w:rsidR="00235C47">
        <w:t xml:space="preserve"> preschool children (</w:t>
      </w:r>
      <w:proofErr w:type="spellStart"/>
      <w:r w:rsidR="00235C47">
        <w:t>Mamedova</w:t>
      </w:r>
      <w:proofErr w:type="spellEnd"/>
      <w:r w:rsidR="00235C47">
        <w:t xml:space="preserve"> et al., 2019). These studies</w:t>
      </w:r>
      <w:r w:rsidRPr="00137E54">
        <w:t xml:space="preserve"> </w:t>
      </w:r>
      <w:r w:rsidR="00235C47">
        <w:t>illustrate</w:t>
      </w:r>
      <w:r w:rsidRPr="00137E54">
        <w:t xml:space="preserve"> that there is a substantial amount of variance</w:t>
      </w:r>
      <w:r w:rsidR="008F2D16">
        <w:t xml:space="preserve"> in parent pain judgments that is</w:t>
      </w:r>
      <w:r w:rsidRPr="00137E54">
        <w:t xml:space="preserve"> still unaccounted for, particularly </w:t>
      </w:r>
      <w:r w:rsidR="00235C47">
        <w:t>for young children</w:t>
      </w:r>
      <w:r w:rsidRPr="00137E54">
        <w:t xml:space="preserve">. </w:t>
      </w:r>
      <w:r w:rsidR="00063AB2">
        <w:t xml:space="preserve">Moreover, the steep developmental trajectory in pain responding over the first years of life compels building an </w:t>
      </w:r>
      <w:r w:rsidR="00063AB2" w:rsidRPr="00137E54">
        <w:t xml:space="preserve">understanding </w:t>
      </w:r>
      <w:r w:rsidR="00063AB2">
        <w:t xml:space="preserve">of </w:t>
      </w:r>
      <w:r w:rsidR="00063AB2" w:rsidRPr="00137E54">
        <w:t xml:space="preserve">the specific factors that influence parents’ pain ratings at various stages of </w:t>
      </w:r>
      <w:r w:rsidR="00063AB2">
        <w:t xml:space="preserve">early childhood </w:t>
      </w:r>
      <w:r w:rsidR="00063AB2" w:rsidRPr="00137E54">
        <w:t>development</w:t>
      </w:r>
      <w:r w:rsidR="00063AB2">
        <w:t xml:space="preserve"> (i.e., toddlers)</w:t>
      </w:r>
      <w:r w:rsidR="00063AB2" w:rsidRPr="00137E54">
        <w:t>.</w:t>
      </w:r>
    </w:p>
    <w:p w14:paraId="40C0F7D8" w14:textId="3BA11E54" w:rsidR="00A84C01" w:rsidRDefault="00ED2592" w:rsidP="00235C47">
      <w:pPr>
        <w:spacing w:line="480" w:lineRule="auto"/>
        <w:ind w:firstLine="720"/>
      </w:pPr>
      <w:r>
        <w:t>Furthermore</w:t>
      </w:r>
      <w:r w:rsidR="00A24722" w:rsidRPr="00137E54">
        <w:t xml:space="preserve">, </w:t>
      </w:r>
      <w:proofErr w:type="spellStart"/>
      <w:r w:rsidR="00235C47">
        <w:t>Mamedova</w:t>
      </w:r>
      <w:proofErr w:type="spellEnd"/>
      <w:r w:rsidR="00235C47">
        <w:t xml:space="preserve"> and colleagues (2019) outlined how </w:t>
      </w:r>
      <w:r w:rsidR="00A24722" w:rsidRPr="00137E54">
        <w:t>parental assessment of their own</w:t>
      </w:r>
      <w:r w:rsidR="004B45A4">
        <w:t>, as well as their child’s worry after the needle,</w:t>
      </w:r>
      <w:r w:rsidR="00A24722" w:rsidRPr="00137E54">
        <w:t xml:space="preserve"> predicted pain ratings over and above child pain behaviours. This research</w:t>
      </w:r>
      <w:r w:rsidR="00961DD1">
        <w:t xml:space="preserve"> is in line with previous research (</w:t>
      </w:r>
      <w:proofErr w:type="spellStart"/>
      <w:r w:rsidR="00961DD1" w:rsidRPr="003F3AB8">
        <w:t>Akbarzadeh</w:t>
      </w:r>
      <w:proofErr w:type="spellEnd"/>
      <w:r w:rsidR="00961DD1">
        <w:t xml:space="preserve"> et al., 2018; </w:t>
      </w:r>
      <w:r w:rsidR="00961DD1" w:rsidRPr="00BC3943">
        <w:rPr>
          <w:lang w:val="en-US"/>
        </w:rPr>
        <w:t xml:space="preserve">Bernard </w:t>
      </w:r>
      <w:r w:rsidR="00961DD1">
        <w:rPr>
          <w:lang w:val="en-US"/>
        </w:rPr>
        <w:t xml:space="preserve">&amp; </w:t>
      </w:r>
      <w:r w:rsidR="00961DD1" w:rsidRPr="00BC3943">
        <w:rPr>
          <w:lang w:val="en-US"/>
        </w:rPr>
        <w:t>Cohen</w:t>
      </w:r>
      <w:r w:rsidR="00961DD1">
        <w:rPr>
          <w:lang w:val="en-US"/>
        </w:rPr>
        <w:t>, 2006</w:t>
      </w:r>
      <w:r w:rsidR="00961DD1">
        <w:t xml:space="preserve">), highlighting </w:t>
      </w:r>
      <w:r w:rsidR="00A24722" w:rsidRPr="00137E54">
        <w:t xml:space="preserve">the importance of accounting for parent psychological variables when investigating factors shaping parent pain judgements. </w:t>
      </w:r>
      <w:r w:rsidR="00A84C01">
        <w:t>Similarly, previous research also</w:t>
      </w:r>
      <w:r w:rsidR="00A24722" w:rsidRPr="00137E54">
        <w:t xml:space="preserve"> </w:t>
      </w:r>
      <w:r w:rsidR="00A84C01">
        <w:t>demonstrated</w:t>
      </w:r>
      <w:r w:rsidR="00A24722" w:rsidRPr="00137E54">
        <w:t xml:space="preserve"> that maternal recall of infant pain is impacted more by maternal psychological distress than by child pain behaviour (Pillai Riddell et al</w:t>
      </w:r>
      <w:r w:rsidR="00393497">
        <w:t>.</w:t>
      </w:r>
      <w:r w:rsidR="00A24722" w:rsidRPr="00137E54">
        <w:t>, 2007).</w:t>
      </w:r>
      <w:r w:rsidR="00CC4A30">
        <w:t xml:space="preserve"> One particular area of </w:t>
      </w:r>
      <w:r w:rsidR="00C46DC4">
        <w:t xml:space="preserve">parent </w:t>
      </w:r>
      <w:r w:rsidR="00CC4A30">
        <w:t xml:space="preserve">psychological </w:t>
      </w:r>
      <w:r w:rsidR="00C46DC4">
        <w:t>functioning</w:t>
      </w:r>
      <w:r w:rsidR="00CC4A30">
        <w:t xml:space="preserve"> </w:t>
      </w:r>
      <w:r w:rsidR="00C46DC4">
        <w:t xml:space="preserve">that may influence pain ratings </w:t>
      </w:r>
      <w:r w:rsidR="00CC4A30">
        <w:t xml:space="preserve">is </w:t>
      </w:r>
      <w:r w:rsidR="002D747C">
        <w:t>referred to</w:t>
      </w:r>
      <w:r w:rsidR="00CC4A30">
        <w:t xml:space="preserve"> as acculturative stress</w:t>
      </w:r>
      <w:r w:rsidR="002D747C">
        <w:t>,</w:t>
      </w:r>
      <w:r w:rsidR="00CC4A30">
        <w:t xml:space="preserve"> which </w:t>
      </w:r>
      <w:r w:rsidR="00C46DC4">
        <w:t xml:space="preserve">often </w:t>
      </w:r>
      <w:r w:rsidR="002D747C">
        <w:t>encapsulates a myriad of</w:t>
      </w:r>
      <w:r w:rsidR="00CC4A30">
        <w:t xml:space="preserve"> stressors that are associated with </w:t>
      </w:r>
      <w:r w:rsidR="00C46DC4">
        <w:t>adjusting to a culture that is different than one’s heritage culture</w:t>
      </w:r>
      <w:r w:rsidR="00CC4A30">
        <w:t xml:space="preserve"> (</w:t>
      </w:r>
      <w:proofErr w:type="spellStart"/>
      <w:r w:rsidR="00CC4A30">
        <w:t>Perreira</w:t>
      </w:r>
      <w:proofErr w:type="spellEnd"/>
      <w:r w:rsidR="00CC4A30">
        <w:t xml:space="preserve"> et al., 2019). According to the Family Stress Model (FSM; Conger et al., 2000), life stressors exerted on parents tend to shape a variety of child outcomes. </w:t>
      </w:r>
      <w:r w:rsidR="000251C6">
        <w:t>For example, a</w:t>
      </w:r>
      <w:r w:rsidR="00CC4A30">
        <w:t xml:space="preserve"> recent review paper focusing on acculturative stress and Latinx children outlines how acculturative stress impacts parent emotional distress, disrupts parenting, and compromises family functioning by interfering with </w:t>
      </w:r>
      <w:r w:rsidR="00CC4A30">
        <w:lastRenderedPageBreak/>
        <w:t xml:space="preserve">relational dynamics (Miller &amp; </w:t>
      </w:r>
      <w:proofErr w:type="spellStart"/>
      <w:r w:rsidR="001B4F04" w:rsidRPr="001B4F04">
        <w:t>Csizmadia</w:t>
      </w:r>
      <w:proofErr w:type="spellEnd"/>
      <w:r w:rsidR="00CC4A30">
        <w:t xml:space="preserve">, 2022). </w:t>
      </w:r>
      <w:r w:rsidR="00F05079">
        <w:t>Any added stress on the caregiver, in this case, acculturati</w:t>
      </w:r>
      <w:r w:rsidR="00312675">
        <w:t>ve stress</w:t>
      </w:r>
      <w:r w:rsidR="00F05079">
        <w:t xml:space="preserve">, may influence their ability to respond appropriately to the child during a painful procedure. An inability to respond to the child’s pain may decrease the caregiver’s sense of control, increase their own psychological and physiological responses, and thus impact their assessment of the child’s pain.  </w:t>
      </w:r>
      <w:r w:rsidR="00CC4A30">
        <w:t xml:space="preserve">Therefore, it is worth exploring the influence of </w:t>
      </w:r>
      <w:r w:rsidR="00C42542">
        <w:t>acculturation</w:t>
      </w:r>
      <w:r w:rsidR="00C46DC4">
        <w:t xml:space="preserve"> as a </w:t>
      </w:r>
      <w:r w:rsidR="006C479F">
        <w:t xml:space="preserve">possible </w:t>
      </w:r>
      <w:r w:rsidR="00C46DC4">
        <w:t>predictor</w:t>
      </w:r>
      <w:r w:rsidR="00CC4A30">
        <w:t xml:space="preserve"> o</w:t>
      </w:r>
      <w:r w:rsidR="00C46DC4">
        <w:t>f</w:t>
      </w:r>
      <w:r w:rsidR="00CC4A30">
        <w:t xml:space="preserve"> parent pain ratings</w:t>
      </w:r>
      <w:r w:rsidR="00C42542">
        <w:t xml:space="preserve"> due to the potential stressors that accompany it</w:t>
      </w:r>
      <w:r w:rsidR="00CC4A30">
        <w:t>.</w:t>
      </w:r>
      <w:r w:rsidR="007324AD">
        <w:t xml:space="preserve"> </w:t>
      </w:r>
    </w:p>
    <w:p w14:paraId="7DD05339" w14:textId="3A7E7BDF" w:rsidR="00A22B84" w:rsidRDefault="00A24722" w:rsidP="00A62B54">
      <w:pPr>
        <w:spacing w:line="480" w:lineRule="auto"/>
        <w:ind w:firstLine="720"/>
        <w:rPr>
          <w:b/>
          <w:bCs/>
        </w:rPr>
      </w:pPr>
      <w:r w:rsidRPr="00137E54">
        <w:t xml:space="preserve">The objective of the present study </w:t>
      </w:r>
      <w:r>
        <w:t>was</w:t>
      </w:r>
      <w:r w:rsidRPr="00137E54">
        <w:t xml:space="preserve"> to examine the relative contributions of child and caregiver factors in predicting </w:t>
      </w:r>
      <w:r w:rsidR="00151C02">
        <w:t>caregiver</w:t>
      </w:r>
      <w:r w:rsidRPr="00137E54">
        <w:t xml:space="preserve"> ratings of </w:t>
      </w:r>
      <w:r w:rsidR="00CF1446">
        <w:t xml:space="preserve">their </w:t>
      </w:r>
      <w:r w:rsidRPr="00137E54">
        <w:t>children</w:t>
      </w:r>
      <w:r w:rsidR="00CF1446">
        <w:t>’s pain</w:t>
      </w:r>
      <w:r w:rsidRPr="00137E54">
        <w:t xml:space="preserve"> during vaccination </w:t>
      </w:r>
      <w:r w:rsidR="00DA734C">
        <w:t xml:space="preserve">in toddlers </w:t>
      </w:r>
      <w:r w:rsidRPr="00137E54">
        <w:t>(18 months</w:t>
      </w:r>
      <w:r w:rsidR="004C39D2">
        <w:t xml:space="preserve"> and </w:t>
      </w:r>
      <w:r w:rsidRPr="00137E54">
        <w:t>24 months</w:t>
      </w:r>
      <w:r w:rsidR="00DA734C">
        <w:t xml:space="preserve"> vaccinations</w:t>
      </w:r>
      <w:r w:rsidRPr="00137E54">
        <w:t xml:space="preserve">). </w:t>
      </w:r>
      <w:r w:rsidR="00B568E1">
        <w:t xml:space="preserve">In addition to studying this phenomenon during </w:t>
      </w:r>
      <w:r w:rsidR="00A62B54">
        <w:t>an</w:t>
      </w:r>
      <w:r w:rsidR="00B568E1">
        <w:t xml:space="preserve"> </w:t>
      </w:r>
      <w:r w:rsidR="00DA734C">
        <w:t xml:space="preserve">understudied </w:t>
      </w:r>
      <w:r w:rsidR="00B568E1">
        <w:t>developmental stage of childhood (toddlerhood),</w:t>
      </w:r>
      <w:r w:rsidR="004C39D2">
        <w:t xml:space="preserve"> </w:t>
      </w:r>
      <w:r w:rsidR="00ED2592">
        <w:t xml:space="preserve">the current study goes beyond previous work examining </w:t>
      </w:r>
      <w:r w:rsidR="00B568E1">
        <w:t xml:space="preserve">parent pain judgments by collecting samples of parents’ subjective reports of </w:t>
      </w:r>
      <w:r w:rsidR="00BC017A">
        <w:t>the emotional functioning that may be contextualizing their behaviour and pain judgments during the vaccination appointment</w:t>
      </w:r>
      <w:r w:rsidR="00234F96">
        <w:t xml:space="preserve">. </w:t>
      </w:r>
      <w:r w:rsidR="00B92935">
        <w:t>Based on previous research, i</w:t>
      </w:r>
      <w:r w:rsidR="00E62009">
        <w:t xml:space="preserve">t was hypothesized </w:t>
      </w:r>
      <w:r w:rsidR="004C39D2">
        <w:t xml:space="preserve">that, in addition to toddler pain behaviours, measures </w:t>
      </w:r>
      <w:r w:rsidR="00BC017A">
        <w:t xml:space="preserve">of </w:t>
      </w:r>
      <w:r w:rsidR="004B45A4">
        <w:t>caregiver</w:t>
      </w:r>
      <w:r w:rsidR="00BC017A">
        <w:t xml:space="preserve"> emotional functioning</w:t>
      </w:r>
      <w:r w:rsidR="00B92935">
        <w:t xml:space="preserve"> (i.e., worry, psychological distress</w:t>
      </w:r>
      <w:r w:rsidR="006E466F">
        <w:t xml:space="preserve">, </w:t>
      </w:r>
      <w:r w:rsidR="00765DD3">
        <w:t>acculturation</w:t>
      </w:r>
      <w:r w:rsidR="00B92935">
        <w:t>)</w:t>
      </w:r>
      <w:r w:rsidR="004C39D2">
        <w:t xml:space="preserve"> </w:t>
      </w:r>
      <w:r w:rsidR="00B568E1">
        <w:t>w</w:t>
      </w:r>
      <w:r w:rsidR="00E62009">
        <w:t xml:space="preserve">ould relate </w:t>
      </w:r>
      <w:r w:rsidR="00156361">
        <w:t xml:space="preserve">to </w:t>
      </w:r>
      <w:r w:rsidR="00BC017A">
        <w:t xml:space="preserve">the </w:t>
      </w:r>
      <w:r w:rsidR="00B568E1">
        <w:t>pain rating of their child post-</w:t>
      </w:r>
      <w:r w:rsidR="00E62009">
        <w:t>vaccination needle</w:t>
      </w:r>
      <w:r w:rsidR="00B92935">
        <w:t xml:space="preserve"> due to the influence of their own physiological and cognitive responses on pain assessment</w:t>
      </w:r>
      <w:r w:rsidR="004C39D2">
        <w:t>.</w:t>
      </w:r>
      <w:r w:rsidR="001A4486">
        <w:t xml:space="preserve"> Given the importance of pain management for children and how caregivers may </w:t>
      </w:r>
      <w:r w:rsidR="002115B6">
        <w:t xml:space="preserve">alter their pain management strategies based on their judgements of the child’s pain, the results of this study will elucidate factors that contribute to </w:t>
      </w:r>
      <w:r w:rsidR="00DA734C">
        <w:t xml:space="preserve">their </w:t>
      </w:r>
      <w:r w:rsidR="002115B6">
        <w:t>ratings</w:t>
      </w:r>
      <w:r w:rsidR="0010160B">
        <w:t xml:space="preserve"> of toddler pain</w:t>
      </w:r>
      <w:r w:rsidR="002115B6">
        <w:t xml:space="preserve"> </w:t>
      </w:r>
      <w:r w:rsidR="00DA734C">
        <w:t>after a vaccination needle</w:t>
      </w:r>
      <w:r w:rsidR="00A22B84">
        <w:t>.</w:t>
      </w:r>
      <w:r w:rsidR="00A528A1">
        <w:t xml:space="preserve"> </w:t>
      </w:r>
    </w:p>
    <w:p w14:paraId="44E1D276" w14:textId="200BBFF8" w:rsidR="00D42E2A" w:rsidRPr="00FC51D3" w:rsidRDefault="00D42E2A" w:rsidP="003A1CA1">
      <w:pPr>
        <w:spacing w:line="480" w:lineRule="auto"/>
        <w:jc w:val="center"/>
        <w:rPr>
          <w:b/>
          <w:bCs/>
        </w:rPr>
      </w:pPr>
      <w:r w:rsidRPr="00FC51D3">
        <w:rPr>
          <w:b/>
          <w:bCs/>
        </w:rPr>
        <w:t>Methods</w:t>
      </w:r>
    </w:p>
    <w:p w14:paraId="7C725622" w14:textId="67840855" w:rsidR="00D42E2A" w:rsidRPr="00FC51D3" w:rsidRDefault="00D42E2A" w:rsidP="0092176E">
      <w:pPr>
        <w:spacing w:line="480" w:lineRule="auto"/>
        <w:rPr>
          <w:b/>
          <w:bCs/>
        </w:rPr>
      </w:pPr>
      <w:r w:rsidRPr="00FC51D3">
        <w:rPr>
          <w:b/>
          <w:bCs/>
        </w:rPr>
        <w:t>Participants</w:t>
      </w:r>
    </w:p>
    <w:p w14:paraId="5B434B10" w14:textId="51CD3474" w:rsidR="002613B6" w:rsidRDefault="0019636F" w:rsidP="0092176E">
      <w:pPr>
        <w:spacing w:line="480" w:lineRule="auto"/>
        <w:ind w:firstLine="720"/>
      </w:pPr>
      <w:r w:rsidRPr="00FC51D3">
        <w:lastRenderedPageBreak/>
        <w:t xml:space="preserve">The sample included </w:t>
      </w:r>
      <w:r w:rsidR="00151C02">
        <w:t>caregiver</w:t>
      </w:r>
      <w:r w:rsidR="00FE01BD" w:rsidRPr="00FC51D3">
        <w:t>-</w:t>
      </w:r>
      <w:r w:rsidR="007D2C59">
        <w:t>toddler</w:t>
      </w:r>
      <w:r w:rsidR="00FE01BD" w:rsidRPr="00FC51D3">
        <w:t xml:space="preserve"> dyads </w:t>
      </w:r>
      <w:r w:rsidR="007D2C59">
        <w:t xml:space="preserve">recruited from two pediatrician clinics in the greater Toronto area as part of </w:t>
      </w:r>
      <w:r w:rsidR="00353F9D" w:rsidRPr="00FC51D3">
        <w:t xml:space="preserve">a </w:t>
      </w:r>
      <w:r w:rsidR="007D2C59">
        <w:t xml:space="preserve">cohort-sequential </w:t>
      </w:r>
      <w:r w:rsidR="00353F9D" w:rsidRPr="00FC51D3">
        <w:t>longitudinal study</w:t>
      </w:r>
      <w:r w:rsidR="007D2C59">
        <w:t xml:space="preserve"> during </w:t>
      </w:r>
      <w:r w:rsidR="00353F9D" w:rsidRPr="00FC51D3">
        <w:t>routine vaccination appointments across their second year of life</w:t>
      </w:r>
      <w:r w:rsidR="001D23BF">
        <w:t xml:space="preserve">. Data </w:t>
      </w:r>
      <w:r w:rsidR="00310F9A">
        <w:t>were</w:t>
      </w:r>
      <w:r w:rsidR="008E7F6F">
        <w:t xml:space="preserve"> </w:t>
      </w:r>
      <w:r w:rsidR="00156361">
        <w:t>collected between</w:t>
      </w:r>
      <w:r w:rsidR="00844E53">
        <w:rPr>
          <w:i/>
          <w:iCs/>
        </w:rPr>
        <w:t xml:space="preserve"> </w:t>
      </w:r>
      <w:r w:rsidR="00844E53">
        <w:t>September 2015 and March 2020</w:t>
      </w:r>
      <w:r w:rsidR="00353F9D" w:rsidRPr="00FC51D3">
        <w:t xml:space="preserve">. </w:t>
      </w:r>
      <w:r w:rsidR="00E33920">
        <w:t xml:space="preserve">One-hundred </w:t>
      </w:r>
      <w:r w:rsidR="00065C8F">
        <w:t xml:space="preserve">and </w:t>
      </w:r>
      <w:r w:rsidR="00FD2658">
        <w:t xml:space="preserve">fifty-six </w:t>
      </w:r>
      <w:r w:rsidR="00572690">
        <w:t xml:space="preserve">dyads </w:t>
      </w:r>
      <w:r w:rsidR="00001D0B">
        <w:t xml:space="preserve">participated at </w:t>
      </w:r>
      <w:r w:rsidR="00CC1A1F">
        <w:t xml:space="preserve">one time point between </w:t>
      </w:r>
      <w:r w:rsidR="00001D0B">
        <w:t xml:space="preserve">18 </w:t>
      </w:r>
      <w:r w:rsidR="00FD2658">
        <w:t xml:space="preserve">and 24 </w:t>
      </w:r>
      <w:r w:rsidR="00001D0B">
        <w:t xml:space="preserve">months </w:t>
      </w:r>
      <w:r w:rsidR="00FD2658">
        <w:t>of age</w:t>
      </w:r>
      <w:r w:rsidR="00001D0B">
        <w:t xml:space="preserve">. </w:t>
      </w:r>
      <w:r w:rsidR="00697B5B" w:rsidRPr="00FC51D3">
        <w:t xml:space="preserve">To </w:t>
      </w:r>
      <w:r w:rsidR="00F97F5C">
        <w:t>qualify for the</w:t>
      </w:r>
      <w:r w:rsidR="00697B5B" w:rsidRPr="00FC51D3">
        <w:t xml:space="preserve"> study</w:t>
      </w:r>
      <w:r w:rsidR="00E6300A" w:rsidRPr="00FC51D3">
        <w:t>,</w:t>
      </w:r>
      <w:r w:rsidR="00697B5B" w:rsidRPr="00FC51D3">
        <w:t xml:space="preserve"> infants had to be healthy with no chronic illnesses or developmental delays, no previous stay</w:t>
      </w:r>
      <w:r w:rsidR="00E6300A" w:rsidRPr="00FC51D3">
        <w:t>s</w:t>
      </w:r>
      <w:r w:rsidR="00697B5B" w:rsidRPr="00FC51D3">
        <w:t xml:space="preserve"> in the neonatal intensive care unit, and born no more than </w:t>
      </w:r>
      <w:r w:rsidR="00096E3A" w:rsidRPr="00FC51D3">
        <w:t>three</w:t>
      </w:r>
      <w:r w:rsidR="00697B5B" w:rsidRPr="00FC51D3">
        <w:t xml:space="preserve"> weeks premature. The primary caregiver had to be fluent in Englis</w:t>
      </w:r>
      <w:r w:rsidR="00152916" w:rsidRPr="00FC51D3">
        <w:t>h</w:t>
      </w:r>
      <w:r w:rsidR="00697B5B" w:rsidRPr="00FC51D3">
        <w:t xml:space="preserve">. </w:t>
      </w:r>
      <w:r w:rsidR="00274ADD" w:rsidRPr="00860173">
        <w:t xml:space="preserve">The majority </w:t>
      </w:r>
      <w:r w:rsidR="00A0597F" w:rsidRPr="00860173">
        <w:t>of</w:t>
      </w:r>
      <w:r w:rsidR="00274ADD" w:rsidRPr="00860173">
        <w:t xml:space="preserve"> caregivers were mothers who </w:t>
      </w:r>
      <w:r w:rsidR="0081712A" w:rsidRPr="00860173">
        <w:t xml:space="preserve">were educated with a university degree or higher. </w:t>
      </w:r>
      <w:r w:rsidR="00A0597F" w:rsidRPr="00860173">
        <w:t xml:space="preserve">Caregivers were </w:t>
      </w:r>
      <w:r w:rsidR="009E6BC6" w:rsidRPr="00860173">
        <w:t xml:space="preserve">diverse with approximately half the sample reporting a heritage culture of </w:t>
      </w:r>
      <w:r w:rsidR="00A0597F" w:rsidRPr="00860173">
        <w:t>Asian</w:t>
      </w:r>
      <w:r w:rsidR="009E6BC6" w:rsidRPr="00860173">
        <w:t>, Latin, Non-European,</w:t>
      </w:r>
      <w:r w:rsidR="00A0597F" w:rsidRPr="00860173">
        <w:t xml:space="preserve"> or Mixed.</w:t>
      </w:r>
      <w:r w:rsidR="00F647ED" w:rsidRPr="00860173">
        <w:t xml:space="preserve"> </w:t>
      </w:r>
      <w:r w:rsidR="00274ADD" w:rsidRPr="00860173">
        <w:t>Toddlers were</w:t>
      </w:r>
      <w:r w:rsidR="00F77D21" w:rsidRPr="00860173">
        <w:t xml:space="preserve"> </w:t>
      </w:r>
      <w:r w:rsidR="00BF4EF0" w:rsidRPr="00860173">
        <w:t>approximately 5</w:t>
      </w:r>
      <w:r w:rsidR="00860173" w:rsidRPr="00860173">
        <w:t>7</w:t>
      </w:r>
      <w:r w:rsidR="00BF4EF0" w:rsidRPr="00860173">
        <w:t xml:space="preserve">% male </w:t>
      </w:r>
      <w:r w:rsidR="00F77D21" w:rsidRPr="00860173">
        <w:t>and were generally healthy.</w:t>
      </w:r>
      <w:r w:rsidR="00F647ED" w:rsidRPr="00860173">
        <w:t xml:space="preserve"> </w:t>
      </w:r>
      <w:r w:rsidR="00F77D21" w:rsidRPr="00860173">
        <w:t>Table 1 includes demographic information for all participants</w:t>
      </w:r>
      <w:r w:rsidR="00FD2658" w:rsidRPr="00860173">
        <w:t>.</w:t>
      </w:r>
    </w:p>
    <w:p w14:paraId="75E3DD24" w14:textId="7A52731B" w:rsidR="00030222" w:rsidRPr="00FC51D3" w:rsidRDefault="00D42E2A" w:rsidP="0092176E">
      <w:pPr>
        <w:spacing w:line="480" w:lineRule="auto"/>
        <w:rPr>
          <w:b/>
          <w:bCs/>
        </w:rPr>
      </w:pPr>
      <w:r w:rsidRPr="00FC51D3">
        <w:rPr>
          <w:b/>
          <w:bCs/>
        </w:rPr>
        <w:t xml:space="preserve">Procedure </w:t>
      </w:r>
    </w:p>
    <w:p w14:paraId="311A3D6E" w14:textId="1F4F4D85" w:rsidR="00B14897" w:rsidRPr="00FC51D3" w:rsidRDefault="00B14897" w:rsidP="0092176E">
      <w:pPr>
        <w:spacing w:line="480" w:lineRule="auto"/>
        <w:ind w:firstLine="720"/>
      </w:pPr>
      <w:r w:rsidRPr="00FC51D3">
        <w:t>The study received approval from York University’s Research Ethics Board.</w:t>
      </w:r>
      <w:r w:rsidR="00BF1041" w:rsidRPr="00FC51D3">
        <w:t xml:space="preserve"> </w:t>
      </w:r>
      <w:r w:rsidR="00151C02">
        <w:t>Caregiver</w:t>
      </w:r>
      <w:r w:rsidR="00033034">
        <w:t>s</w:t>
      </w:r>
      <w:r w:rsidR="00151C02">
        <w:t xml:space="preserve"> </w:t>
      </w:r>
      <w:r w:rsidR="00030222" w:rsidRPr="00FC51D3">
        <w:t>were approached at their child’s routine vaccination appointments to participate in the study.</w:t>
      </w:r>
      <w:r w:rsidR="00C863E6" w:rsidRPr="00FC51D3">
        <w:t xml:space="preserve"> </w:t>
      </w:r>
      <w:r w:rsidR="00151C02">
        <w:t>Immediately p</w:t>
      </w:r>
      <w:r w:rsidR="00CE3039" w:rsidRPr="00FC51D3">
        <w:t xml:space="preserve">rior to the </w:t>
      </w:r>
      <w:r w:rsidR="00151C02">
        <w:t xml:space="preserve">vaccination </w:t>
      </w:r>
      <w:r w:rsidR="00CE3039" w:rsidRPr="00FC51D3">
        <w:t xml:space="preserve">appointment, </w:t>
      </w:r>
      <w:r w:rsidR="00151C02">
        <w:t>caregiver</w:t>
      </w:r>
      <w:r w:rsidR="00566FB4">
        <w:t>s</w:t>
      </w:r>
      <w:r w:rsidR="00151C02" w:rsidRPr="00FC51D3">
        <w:t xml:space="preserve"> </w:t>
      </w:r>
      <w:r w:rsidR="008232DA" w:rsidRPr="00FC51D3">
        <w:t>complete</w:t>
      </w:r>
      <w:r w:rsidR="00566FB4">
        <w:t>d</w:t>
      </w:r>
      <w:r w:rsidR="008232DA" w:rsidRPr="00FC51D3">
        <w:t xml:space="preserve"> a</w:t>
      </w:r>
      <w:r w:rsidR="00AF70AD">
        <w:t xml:space="preserve"> participant</w:t>
      </w:r>
      <w:r w:rsidR="008232DA" w:rsidRPr="00FC51D3">
        <w:t xml:space="preserve"> information sheet</w:t>
      </w:r>
      <w:r w:rsidR="00AF70AD">
        <w:t xml:space="preserve"> (PIS</w:t>
      </w:r>
      <w:r w:rsidR="00001D0B">
        <w:t>; demographic form</w:t>
      </w:r>
      <w:r w:rsidR="00AF70AD">
        <w:t>)</w:t>
      </w:r>
      <w:r w:rsidR="0064690A">
        <w:t xml:space="preserve"> and</w:t>
      </w:r>
      <w:r w:rsidR="003C37BD">
        <w:t xml:space="preserve"> </w:t>
      </w:r>
      <w:r w:rsidR="008232DA" w:rsidRPr="00FC51D3">
        <w:t>provide</w:t>
      </w:r>
      <w:r w:rsidR="00566FB4">
        <w:t>d</w:t>
      </w:r>
      <w:r w:rsidR="008232DA" w:rsidRPr="00FC51D3">
        <w:t xml:space="preserve"> w</w:t>
      </w:r>
      <w:r w:rsidR="00030222" w:rsidRPr="00FC51D3">
        <w:t>ritten consent</w:t>
      </w:r>
      <w:r w:rsidR="00A94FC2">
        <w:t xml:space="preserve"> to participate in a naturalistic observational study (minimal interference from research team)</w:t>
      </w:r>
      <w:r w:rsidR="00566FB4">
        <w:t xml:space="preserve">. </w:t>
      </w:r>
      <w:r w:rsidR="0064690A">
        <w:t xml:space="preserve">Before and after the </w:t>
      </w:r>
      <w:r w:rsidR="00BF4EF0">
        <w:t>vaccination procedure</w:t>
      </w:r>
      <w:r w:rsidR="0064690A">
        <w:t xml:space="preserve">, </w:t>
      </w:r>
      <w:r w:rsidR="00151C02">
        <w:t>caregiver</w:t>
      </w:r>
      <w:r w:rsidR="00566FB4">
        <w:t>s</w:t>
      </w:r>
      <w:r w:rsidR="00151C02" w:rsidDel="00151C02">
        <w:t xml:space="preserve"> </w:t>
      </w:r>
      <w:r w:rsidR="0064690A">
        <w:t>were asked to rate their own worry</w:t>
      </w:r>
      <w:r w:rsidR="00BF4EF0">
        <w:t xml:space="preserve">. </w:t>
      </w:r>
      <w:r w:rsidR="00CD441E">
        <w:t>Caregiver</w:t>
      </w:r>
      <w:r w:rsidR="00BF4EF0">
        <w:t xml:space="preserve"> pain ratings were </w:t>
      </w:r>
      <w:r w:rsidR="002F0392">
        <w:t xml:space="preserve">collected </w:t>
      </w:r>
      <w:r w:rsidR="00BF4EF0">
        <w:t xml:space="preserve">approximately 3 minutes </w:t>
      </w:r>
      <w:r w:rsidR="005A1029">
        <w:t>after the</w:t>
      </w:r>
      <w:r w:rsidR="00BF4EF0">
        <w:t xml:space="preserve"> final</w:t>
      </w:r>
      <w:r w:rsidR="005A1029">
        <w:t xml:space="preserve"> needle was administered</w:t>
      </w:r>
      <w:r w:rsidR="0064690A">
        <w:t xml:space="preserve">. </w:t>
      </w:r>
      <w:r w:rsidR="00CC6B12">
        <w:t>Caregiver-toddler dyads were videotaped during t</w:t>
      </w:r>
      <w:r w:rsidR="00B34C98" w:rsidRPr="00FC51D3">
        <w:t>he immunization appointments</w:t>
      </w:r>
      <w:r w:rsidR="00CC6B12">
        <w:t xml:space="preserve"> for subsequent behavioural coding</w:t>
      </w:r>
      <w:r w:rsidR="00FB315D">
        <w:t xml:space="preserve"> using </w:t>
      </w:r>
      <w:r w:rsidR="00FB315D" w:rsidRPr="00FC51D3">
        <w:t xml:space="preserve">the </w:t>
      </w:r>
      <w:proofErr w:type="spellStart"/>
      <w:r w:rsidR="00FB315D" w:rsidRPr="00FC51D3">
        <w:t>Noldus</w:t>
      </w:r>
      <w:proofErr w:type="spellEnd"/>
      <w:r w:rsidR="00FB315D" w:rsidRPr="00FC51D3">
        <w:t xml:space="preserve"> Observer XT 15.0 software</w:t>
      </w:r>
      <w:r w:rsidR="00CC6B12">
        <w:t xml:space="preserve">. </w:t>
      </w:r>
      <w:r w:rsidR="00B34C98">
        <w:t xml:space="preserve">Within 2 weeks of the study, </w:t>
      </w:r>
      <w:r w:rsidR="00151C02">
        <w:t>caregivers</w:t>
      </w:r>
      <w:r w:rsidR="00B34C98">
        <w:t xml:space="preserve"> were asked to complete </w:t>
      </w:r>
      <w:r w:rsidR="00A94FC2">
        <w:t xml:space="preserve">standardized questionnaires </w:t>
      </w:r>
      <w:r w:rsidR="00297109">
        <w:t xml:space="preserve">over the phone </w:t>
      </w:r>
      <w:r w:rsidR="00065C8F">
        <w:t xml:space="preserve">examining their </w:t>
      </w:r>
      <w:r w:rsidR="00BC017A">
        <w:lastRenderedPageBreak/>
        <w:t>emotional functioning</w:t>
      </w:r>
      <w:r w:rsidR="00D45F75">
        <w:t>.</w:t>
      </w:r>
      <w:r w:rsidR="00F70219">
        <w:t xml:space="preserve"> </w:t>
      </w:r>
      <w:r w:rsidR="009C2FCB">
        <w:t>T</w:t>
      </w:r>
      <w:r w:rsidR="00F70219" w:rsidRPr="007933E7">
        <w:t>oddlers recei</w:t>
      </w:r>
      <w:r w:rsidR="002871F5">
        <w:t>ved between</w:t>
      </w:r>
      <w:r w:rsidR="00F70219" w:rsidRPr="007933E7">
        <w:t xml:space="preserve"> 1-3 needles at their appointment, with most of the children receiving only one needle</w:t>
      </w:r>
      <w:r w:rsidR="007933E7" w:rsidRPr="00A62B54">
        <w:t xml:space="preserve"> (~60%)</w:t>
      </w:r>
      <w:r w:rsidR="00F70219" w:rsidRPr="007933E7">
        <w:t>.</w:t>
      </w:r>
      <w:r w:rsidR="00F70219">
        <w:t xml:space="preserve"> </w:t>
      </w:r>
    </w:p>
    <w:p w14:paraId="023B9EDF" w14:textId="24E9F62D" w:rsidR="00D42E2A" w:rsidRDefault="00D42E2A" w:rsidP="0092176E">
      <w:pPr>
        <w:spacing w:line="480" w:lineRule="auto"/>
        <w:rPr>
          <w:b/>
          <w:bCs/>
        </w:rPr>
      </w:pPr>
      <w:r w:rsidRPr="00FC51D3">
        <w:rPr>
          <w:b/>
          <w:bCs/>
        </w:rPr>
        <w:t>Measures</w:t>
      </w:r>
    </w:p>
    <w:p w14:paraId="3E95F537" w14:textId="7917E93D" w:rsidR="0006675D" w:rsidRDefault="00695978" w:rsidP="0092176E">
      <w:pPr>
        <w:spacing w:line="480" w:lineRule="auto"/>
        <w:rPr>
          <w:b/>
          <w:bCs/>
          <w:i/>
          <w:iCs/>
        </w:rPr>
      </w:pPr>
      <w:r>
        <w:rPr>
          <w:b/>
          <w:bCs/>
          <w:i/>
          <w:iCs/>
        </w:rPr>
        <w:t>Caregiver Demographic Information</w:t>
      </w:r>
    </w:p>
    <w:p w14:paraId="255BC013" w14:textId="3785D976" w:rsidR="00695978" w:rsidRPr="00695978" w:rsidRDefault="00695978" w:rsidP="0092176E">
      <w:pPr>
        <w:spacing w:line="480" w:lineRule="auto"/>
      </w:pPr>
      <w:r>
        <w:tab/>
        <w:t>Prior to the immunization appointment, caregivers were asked to complete a brief demographic questionnaire</w:t>
      </w:r>
      <w:r w:rsidR="009C107C">
        <w:t xml:space="preserve"> (Participant Information Sheet; PIS)</w:t>
      </w:r>
      <w:r>
        <w:t xml:space="preserve"> indicating their relation to the child, self-reported heritage culture</w:t>
      </w:r>
      <w:r w:rsidR="00BC017A">
        <w:t xml:space="preserve"> (which was subsequently classified by continent or geographic area of origin whenever possible for reporting purposes)</w:t>
      </w:r>
      <w:r>
        <w:t xml:space="preserve">, highest level of education, </w:t>
      </w:r>
      <w:r w:rsidR="00162F8A">
        <w:t xml:space="preserve">and their </w:t>
      </w:r>
      <w:r>
        <w:t xml:space="preserve">child’s age and </w:t>
      </w:r>
      <w:r w:rsidR="00162F8A">
        <w:t xml:space="preserve">sex. </w:t>
      </w:r>
    </w:p>
    <w:p w14:paraId="0EF537E9" w14:textId="26C9D570" w:rsidR="009E0B73" w:rsidRDefault="00E21CFA" w:rsidP="0092176E">
      <w:pPr>
        <w:spacing w:line="480" w:lineRule="auto"/>
        <w:rPr>
          <w:b/>
          <w:bCs/>
          <w:i/>
          <w:iCs/>
        </w:rPr>
      </w:pPr>
      <w:r>
        <w:rPr>
          <w:b/>
          <w:bCs/>
          <w:i/>
          <w:iCs/>
        </w:rPr>
        <w:t>Child Pain</w:t>
      </w:r>
    </w:p>
    <w:p w14:paraId="7EFEA724" w14:textId="2AC9455A" w:rsidR="00CB48B0" w:rsidRDefault="00CB48B0" w:rsidP="00E21CFA">
      <w:pPr>
        <w:spacing w:line="480" w:lineRule="auto"/>
      </w:pPr>
      <w:r>
        <w:tab/>
      </w:r>
      <w:r w:rsidRPr="00B02120">
        <w:rPr>
          <w:b/>
          <w:bCs/>
        </w:rPr>
        <w:t>Pain Ratings</w:t>
      </w:r>
      <w:r>
        <w:t xml:space="preserve">. </w:t>
      </w:r>
      <w:r w:rsidR="00D80F13">
        <w:t>Caregivers</w:t>
      </w:r>
      <w:r>
        <w:t xml:space="preserve"> were asked to rate their child’s pain using a numeric rating scale. Immediately after the immunization, parents were asked “On a scale from 0 to 10, how much pain do you think your child experienced?” where 0 indicated “No pain at all” and 10 indicated “The worst possible pain”. </w:t>
      </w:r>
      <w:r w:rsidR="00801A82">
        <w:t xml:space="preserve">The 0-10 numeric rating scale (NRS) was also utilized in previous work </w:t>
      </w:r>
      <w:r w:rsidR="00850DC6">
        <w:t xml:space="preserve">by </w:t>
      </w:r>
      <w:proofErr w:type="spellStart"/>
      <w:r w:rsidR="00801A82">
        <w:t>Mamedova</w:t>
      </w:r>
      <w:proofErr w:type="spellEnd"/>
      <w:r w:rsidR="00801A82">
        <w:t xml:space="preserve"> </w:t>
      </w:r>
      <w:r w:rsidR="00850DC6">
        <w:t>and colleagues (</w:t>
      </w:r>
      <w:r w:rsidR="00F43786">
        <w:t>2019</w:t>
      </w:r>
      <w:r w:rsidR="00850DC6">
        <w:t xml:space="preserve">). </w:t>
      </w:r>
      <w:r w:rsidR="00801A82">
        <w:t xml:space="preserve">The inclusion of NRS for child pain and caregiver worry (see below) </w:t>
      </w:r>
      <w:r w:rsidR="00850DC6">
        <w:t>was based on evidence from previous research outlining the convergent validity between parents’ NRS and children's reports (</w:t>
      </w:r>
      <w:proofErr w:type="spellStart"/>
      <w:r w:rsidR="00850DC6">
        <w:t>Brudvik</w:t>
      </w:r>
      <w:proofErr w:type="spellEnd"/>
      <w:r w:rsidR="00850DC6">
        <w:t xml:space="preserve"> et al., 2017).</w:t>
      </w:r>
    </w:p>
    <w:p w14:paraId="52E1F22F" w14:textId="5E5F5EA2" w:rsidR="00B02120" w:rsidRDefault="00B02120" w:rsidP="00CB48B0">
      <w:pPr>
        <w:spacing w:line="480" w:lineRule="auto"/>
        <w:ind w:firstLine="720"/>
      </w:pPr>
      <w:r w:rsidRPr="00FC51D3">
        <w:rPr>
          <w:b/>
          <w:bCs/>
        </w:rPr>
        <w:t xml:space="preserve">The Face, Legs, Activity, Cry, </w:t>
      </w:r>
      <w:proofErr w:type="spellStart"/>
      <w:r w:rsidRPr="00FC51D3">
        <w:rPr>
          <w:b/>
          <w:bCs/>
        </w:rPr>
        <w:t>Consolability</w:t>
      </w:r>
      <w:proofErr w:type="spellEnd"/>
      <w:r w:rsidRPr="00FC51D3">
        <w:rPr>
          <w:b/>
          <w:bCs/>
        </w:rPr>
        <w:t xml:space="preserve"> Scale (FLACC).</w:t>
      </w:r>
      <w:r w:rsidRPr="00FC51D3">
        <w:rPr>
          <w:b/>
          <w:bCs/>
          <w:i/>
          <w:iCs/>
        </w:rPr>
        <w:t xml:space="preserve"> </w:t>
      </w:r>
      <w:r>
        <w:t>FLACC</w:t>
      </w:r>
      <w:r w:rsidRPr="00FC51D3">
        <w:t xml:space="preserve"> (</w:t>
      </w:r>
      <w:r w:rsidRPr="005D7045">
        <w:t>Merkel</w:t>
      </w:r>
      <w:r w:rsidRPr="00FC51D3">
        <w:t xml:space="preserve"> et al., 2002) is a reliable and valid measure </w:t>
      </w:r>
      <w:r w:rsidR="00E21CFA">
        <w:t xml:space="preserve">of </w:t>
      </w:r>
      <w:r w:rsidRPr="00FC51D3">
        <w:t>child</w:t>
      </w:r>
      <w:r w:rsidR="00E21CFA">
        <w:t xml:space="preserve"> pain</w:t>
      </w:r>
      <w:r w:rsidR="002A08C6">
        <w:t xml:space="preserve">-related </w:t>
      </w:r>
      <w:r w:rsidR="00A94FC2">
        <w:t xml:space="preserve">behavioural </w:t>
      </w:r>
      <w:r w:rsidR="002A08C6">
        <w:t>distress</w:t>
      </w:r>
      <w:r w:rsidR="00E21CFA">
        <w:t xml:space="preserve"> </w:t>
      </w:r>
      <w:r w:rsidRPr="00FC51D3">
        <w:t xml:space="preserve">between 2 months and 7 years of age. </w:t>
      </w:r>
      <w:r w:rsidR="002A08C6">
        <w:t>Distress is measured with five types of pain behaviours</w:t>
      </w:r>
      <w:r w:rsidRPr="00FC51D3">
        <w:t xml:space="preserve"> (face, legs, activity, cry, </w:t>
      </w:r>
      <w:proofErr w:type="spellStart"/>
      <w:r w:rsidRPr="00FC51D3">
        <w:t>consolability</w:t>
      </w:r>
      <w:proofErr w:type="spellEnd"/>
      <w:r w:rsidR="00824CDA">
        <w:t xml:space="preserve">), each </w:t>
      </w:r>
      <w:r w:rsidRPr="00FC51D3">
        <w:t xml:space="preserve">coded </w:t>
      </w:r>
      <w:r w:rsidR="00824CDA">
        <w:t>on a</w:t>
      </w:r>
      <w:r w:rsidRPr="00FC51D3">
        <w:t xml:space="preserve"> 0-2</w:t>
      </w:r>
      <w:r w:rsidR="002A08C6">
        <w:t xml:space="preserve"> </w:t>
      </w:r>
      <w:r w:rsidR="00824CDA">
        <w:t>scale</w:t>
      </w:r>
      <w:r w:rsidRPr="00FC51D3">
        <w:t xml:space="preserve"> in 15-second epochs</w:t>
      </w:r>
      <w:r w:rsidR="00824CDA">
        <w:t>, resulting in a total score between 0 and 10 for each epoch</w:t>
      </w:r>
      <w:r w:rsidR="008805C7">
        <w:t xml:space="preserve"> (</w:t>
      </w:r>
      <w:r w:rsidR="008805C7" w:rsidRPr="00FC51D3">
        <w:t>with higher scores indicating more child pain</w:t>
      </w:r>
      <w:r w:rsidR="008805C7">
        <w:t>)</w:t>
      </w:r>
      <w:r w:rsidR="00824CDA">
        <w:t>.</w:t>
      </w:r>
      <w:r w:rsidRPr="00FC51D3">
        <w:t xml:space="preserve"> </w:t>
      </w:r>
      <w:r w:rsidR="00824CDA">
        <w:t>FLACC was coded during</w:t>
      </w:r>
      <w:r w:rsidR="00824CDA" w:rsidRPr="00FC51D3">
        <w:t xml:space="preserve"> </w:t>
      </w:r>
      <w:r>
        <w:t>four</w:t>
      </w:r>
      <w:r w:rsidRPr="00FC51D3">
        <w:t xml:space="preserve"> 1-minute periods: one minute before the first needle (</w:t>
      </w:r>
      <w:r w:rsidR="00413C13">
        <w:t>pre-needle distress</w:t>
      </w:r>
      <w:r w:rsidRPr="00FC51D3">
        <w:t xml:space="preserve">), </w:t>
      </w:r>
      <w:r w:rsidRPr="00FC51D3">
        <w:lastRenderedPageBreak/>
        <w:t>immediately after the last needle</w:t>
      </w:r>
      <w:r w:rsidR="005803E0">
        <w:t xml:space="preserve"> (reactivity)</w:t>
      </w:r>
      <w:r w:rsidRPr="00FC51D3">
        <w:t xml:space="preserve">, one minute after the last needle, and two minutes after the last needle. </w:t>
      </w:r>
      <w:r w:rsidR="001502CE">
        <w:t xml:space="preserve">The first 15-seconds of each period was analyzed in the current study to facilitate comparison with previous work. </w:t>
      </w:r>
      <w:r w:rsidRPr="00FC51D3">
        <w:t xml:space="preserve">Interrater reliability was obtained with 20% of the data </w:t>
      </w:r>
      <w:r w:rsidR="008805C7">
        <w:t>double-</w:t>
      </w:r>
      <w:r w:rsidRPr="00FC51D3">
        <w:t>coded for reliability</w:t>
      </w:r>
      <w:r w:rsidR="00DF4183">
        <w:t xml:space="preserve">, such that </w:t>
      </w:r>
      <w:r w:rsidR="00AA3B3B">
        <w:t>20% of the</w:t>
      </w:r>
      <w:r w:rsidR="00DF4183">
        <w:t xml:space="preserve"> video</w:t>
      </w:r>
      <w:r w:rsidR="00AA3B3B">
        <w:t>s</w:t>
      </w:r>
      <w:r w:rsidR="00DF4183">
        <w:t xml:space="preserve"> w</w:t>
      </w:r>
      <w:r w:rsidR="00AA3B3B">
        <w:t>ere</w:t>
      </w:r>
      <w:r w:rsidR="00DF4183">
        <w:t xml:space="preserve"> reviewed and coded by two separate coders to ensure an intra-class correlation coefficient of at least 0.80. </w:t>
      </w:r>
    </w:p>
    <w:p w14:paraId="68C87398" w14:textId="059350E1" w:rsidR="00816E11" w:rsidRPr="005803E0" w:rsidRDefault="00816E11" w:rsidP="005803E0">
      <w:pPr>
        <w:spacing w:line="480" w:lineRule="auto"/>
        <w:ind w:firstLine="720"/>
      </w:pPr>
      <w:r w:rsidRPr="00FC51D3">
        <w:rPr>
          <w:b/>
          <w:bCs/>
        </w:rPr>
        <w:t>Neonatal Facial Coding System (NFCS).</w:t>
      </w:r>
      <w:r w:rsidRPr="00FC51D3">
        <w:rPr>
          <w:b/>
          <w:bCs/>
          <w:i/>
          <w:iCs/>
        </w:rPr>
        <w:t xml:space="preserve"> </w:t>
      </w:r>
      <w:r w:rsidRPr="00FC51D3">
        <w:t xml:space="preserve">The Neonatal Facial Coding System (Grunau &amp; Craig, 1987) is a well-validated measure used to code infant pain facial expressions including brow bulge, eye squeeze, nasolabial furrow, open lips, vertical stretch mouth, horizontal stretch mouth, and taut tongue. </w:t>
      </w:r>
      <w:r w:rsidR="00A337E2">
        <w:t>This coding system has been validated for use in neonates (</w:t>
      </w:r>
      <w:proofErr w:type="spellStart"/>
      <w:r w:rsidR="00A337E2" w:rsidRPr="001B4F04">
        <w:rPr>
          <w:color w:val="000000" w:themeColor="text1"/>
        </w:rPr>
        <w:t>Guinsburg</w:t>
      </w:r>
      <w:proofErr w:type="spellEnd"/>
      <w:r w:rsidR="00A337E2" w:rsidRPr="001B4F04">
        <w:rPr>
          <w:color w:val="000000" w:themeColor="text1"/>
        </w:rPr>
        <w:t xml:space="preserve"> et al., 2000</w:t>
      </w:r>
      <w:r w:rsidR="00A337E2">
        <w:t>) as well as toddlers (</w:t>
      </w:r>
      <w:r w:rsidR="00A337E2" w:rsidRPr="00A337E2">
        <w:t>Lilley</w:t>
      </w:r>
      <w:r w:rsidR="00A337E2">
        <w:t xml:space="preserve"> et al., 1997</w:t>
      </w:r>
      <w:r w:rsidR="005B736D">
        <w:t xml:space="preserve">; </w:t>
      </w:r>
      <w:r w:rsidR="005B736D" w:rsidRPr="00A337E2">
        <w:t>Peters</w:t>
      </w:r>
      <w:r w:rsidR="005B736D">
        <w:t xml:space="preserve"> et al., 2003</w:t>
      </w:r>
      <w:r w:rsidR="00A337E2">
        <w:t xml:space="preserve">). </w:t>
      </w:r>
      <w:r w:rsidRPr="00FC51D3">
        <w:t xml:space="preserve">Each facial action is coded second-by-second based on whether the action is present (1) or absent (0). Facial activity was coded </w:t>
      </w:r>
      <w:r w:rsidR="001502CE">
        <w:t>for a</w:t>
      </w:r>
      <w:r w:rsidR="001502CE" w:rsidRPr="00FC51D3">
        <w:t xml:space="preserve"> </w:t>
      </w:r>
      <w:r w:rsidRPr="00FC51D3">
        <w:t xml:space="preserve">10-second epoch before the first needle (baseline), immediately after the last needle, 1-minute </w:t>
      </w:r>
      <w:r w:rsidR="00DF00C5">
        <w:t>after the last needle</w:t>
      </w:r>
      <w:r w:rsidRPr="00FC51D3">
        <w:t xml:space="preserve"> and 2 minutes </w:t>
      </w:r>
      <w:r w:rsidR="00DF00C5">
        <w:t>after the last needle</w:t>
      </w:r>
      <w:r w:rsidRPr="00FC51D3">
        <w:t xml:space="preserve">. Scores </w:t>
      </w:r>
      <w:r w:rsidR="00DF00C5">
        <w:t>were</w:t>
      </w:r>
      <w:r w:rsidRPr="00FC51D3">
        <w:t xml:space="preserve"> aggregated to create a total facial pain score</w:t>
      </w:r>
      <w:r w:rsidR="00DF00C5">
        <w:t>,</w:t>
      </w:r>
      <w:r w:rsidRPr="00FC51D3">
        <w:t xml:space="preserve"> where a higher total score indicates more infant pain. Interrater reliability was obtained with 20% of the data coded for reliability</w:t>
      </w:r>
      <w:r w:rsidR="00DF4183">
        <w:t xml:space="preserve">, such that </w:t>
      </w:r>
      <w:r w:rsidR="00AA3B3B">
        <w:t xml:space="preserve">20% of the </w:t>
      </w:r>
      <w:r w:rsidR="00DF4183">
        <w:t>video</w:t>
      </w:r>
      <w:r w:rsidR="00AA3B3B">
        <w:t>s</w:t>
      </w:r>
      <w:r w:rsidR="00DF4183">
        <w:t xml:space="preserve"> w</w:t>
      </w:r>
      <w:r w:rsidR="00AA3B3B">
        <w:t>ere</w:t>
      </w:r>
      <w:r w:rsidR="00DF4183">
        <w:t xml:space="preserve"> reviewed and coded by two separate coders to ensure an intra-class correlation coefficient of at least 0.80.</w:t>
      </w:r>
    </w:p>
    <w:p w14:paraId="6B27046E" w14:textId="5D6E5775" w:rsidR="00B02120" w:rsidRPr="00B02120" w:rsidRDefault="00E21CFA" w:rsidP="0092176E">
      <w:pPr>
        <w:spacing w:line="480" w:lineRule="auto"/>
        <w:rPr>
          <w:b/>
          <w:bCs/>
          <w:i/>
          <w:iCs/>
        </w:rPr>
      </w:pPr>
      <w:r>
        <w:rPr>
          <w:b/>
          <w:bCs/>
          <w:i/>
          <w:iCs/>
        </w:rPr>
        <w:t xml:space="preserve">Caregiver </w:t>
      </w:r>
      <w:r w:rsidR="006E466F">
        <w:rPr>
          <w:b/>
          <w:bCs/>
          <w:i/>
          <w:iCs/>
        </w:rPr>
        <w:t>Emotional Functioning</w:t>
      </w:r>
    </w:p>
    <w:p w14:paraId="4DAFFABA" w14:textId="65D2B9F2" w:rsidR="00E21CFA" w:rsidRPr="001D2C6A" w:rsidRDefault="001D2C6A" w:rsidP="0092176E">
      <w:pPr>
        <w:spacing w:line="480" w:lineRule="auto"/>
      </w:pPr>
      <w:r>
        <w:rPr>
          <w:b/>
          <w:bCs/>
        </w:rPr>
        <w:tab/>
      </w:r>
      <w:r w:rsidR="0006675D">
        <w:rPr>
          <w:b/>
          <w:bCs/>
        </w:rPr>
        <w:t>Caregiver</w:t>
      </w:r>
      <w:r w:rsidR="00B02120">
        <w:rPr>
          <w:b/>
          <w:bCs/>
        </w:rPr>
        <w:t xml:space="preserve"> Worry. </w:t>
      </w:r>
      <w:r>
        <w:t xml:space="preserve">Prior to the needle, </w:t>
      </w:r>
      <w:r w:rsidR="0006675D">
        <w:t>caregivers</w:t>
      </w:r>
      <w:r>
        <w:t xml:space="preserve"> were asked</w:t>
      </w:r>
      <w:r w:rsidR="004C2DB4">
        <w:t xml:space="preserve"> </w:t>
      </w:r>
      <w:r>
        <w:t>“On a scale from 0 to 10, how worried about the needle are you, right now, before the needle, where 0 is ‘no worry at all’ and 10 is ‘the most worry possible’</w:t>
      </w:r>
      <w:r w:rsidR="008C0446">
        <w:t xml:space="preserve">?”. Following the final needle, </w:t>
      </w:r>
      <w:r w:rsidR="0006675D">
        <w:t>caregivers</w:t>
      </w:r>
      <w:r w:rsidR="008C0446">
        <w:t xml:space="preserve"> were then asked</w:t>
      </w:r>
      <w:r w:rsidR="00C74DEB">
        <w:t>,</w:t>
      </w:r>
      <w:r w:rsidR="008C0446">
        <w:t xml:space="preserve"> “On a scale from 0 to 10, how worried about the needle are you, right now, after the needle, where 0 is ‘no worry at all’ and 10 is ‘the most worry possible’?”. </w:t>
      </w:r>
    </w:p>
    <w:p w14:paraId="57521A22" w14:textId="3B6F3832" w:rsidR="007E1886" w:rsidRPr="00B02120" w:rsidRDefault="008C0446" w:rsidP="0092176E">
      <w:pPr>
        <w:spacing w:line="480" w:lineRule="auto"/>
        <w:rPr>
          <w:b/>
          <w:bCs/>
          <w:i/>
          <w:iCs/>
        </w:rPr>
      </w:pPr>
      <w:r>
        <w:lastRenderedPageBreak/>
        <w:tab/>
      </w:r>
      <w:r w:rsidR="00B02120" w:rsidRPr="00B02120">
        <w:rPr>
          <w:b/>
          <w:bCs/>
        </w:rPr>
        <w:t>Brief Symptom Inventory (BSI).</w:t>
      </w:r>
      <w:r w:rsidR="00B02120">
        <w:rPr>
          <w:b/>
          <w:bCs/>
          <w:i/>
          <w:iCs/>
        </w:rPr>
        <w:t xml:space="preserve"> </w:t>
      </w:r>
      <w:r>
        <w:t xml:space="preserve">The Brief Symptom Inventory (BSI; </w:t>
      </w:r>
      <w:proofErr w:type="spellStart"/>
      <w:r w:rsidR="00437658">
        <w:t>Derogatis</w:t>
      </w:r>
      <w:proofErr w:type="spellEnd"/>
      <w:r w:rsidR="000F0928">
        <w:t>, 1977</w:t>
      </w:r>
      <w:r>
        <w:t xml:space="preserve">) is a </w:t>
      </w:r>
      <w:r w:rsidR="00E755F2">
        <w:t xml:space="preserve">reliable and valid </w:t>
      </w:r>
      <w:r>
        <w:t xml:space="preserve">self-report inventory that consists of 53 items </w:t>
      </w:r>
      <w:r w:rsidR="00F94F73">
        <w:t>where</w:t>
      </w:r>
      <w:r>
        <w:t xml:space="preserve"> the individual</w:t>
      </w:r>
      <w:r w:rsidR="00F94F73">
        <w:t xml:space="preserve"> is asked</w:t>
      </w:r>
      <w:r>
        <w:t xml:space="preserve"> to rate the extent to which they have </w:t>
      </w:r>
      <w:r w:rsidR="00256D1F" w:rsidRPr="00E755F2">
        <w:t>been bothered</w:t>
      </w:r>
      <w:r w:rsidR="00E755F2">
        <w:t xml:space="preserve"> by </w:t>
      </w:r>
      <w:r w:rsidR="00EC5FCD">
        <w:t>various domain</w:t>
      </w:r>
      <w:r w:rsidR="00EE1A19">
        <w:t>s</w:t>
      </w:r>
      <w:r w:rsidR="00EC5FCD">
        <w:t xml:space="preserve"> of psychological functioning</w:t>
      </w:r>
      <w:r w:rsidR="005A16CF">
        <w:t xml:space="preserve"> </w:t>
      </w:r>
      <w:r w:rsidR="00256D1F">
        <w:t>within the past week. Responses range from 0 (“not at all”) to 4 (“extremely”)</w:t>
      </w:r>
      <w:r w:rsidR="00ED175C">
        <w:t xml:space="preserve"> and they are scaled using the t-score distribution (Mean of 50, Standard Deviation [SD] of 10)</w:t>
      </w:r>
      <w:r w:rsidR="00FA63DF">
        <w:t>.</w:t>
      </w:r>
      <w:r w:rsidR="00256D1F">
        <w:t xml:space="preserve"> The BSI consists of nine subscales: somatization, obsessive-compulsive, interpersonal sensitivity, depression, anxiety, hostility, phobic anxiety, paranoid ideation, and psychoticism. </w:t>
      </w:r>
      <w:r w:rsidR="00ED175C">
        <w:t xml:space="preserve">For the current analysis, the </w:t>
      </w:r>
      <w:r w:rsidR="00173629">
        <w:t>Positive Symptom Distress Index</w:t>
      </w:r>
      <w:r w:rsidR="00ED175C">
        <w:t xml:space="preserve"> score was used to represent overall psychological symptomology/distress over the past week.  </w:t>
      </w:r>
    </w:p>
    <w:p w14:paraId="722FD3DA" w14:textId="16CEE752" w:rsidR="00713776" w:rsidRDefault="004C08CD" w:rsidP="0043785F">
      <w:pPr>
        <w:spacing w:line="480" w:lineRule="auto"/>
      </w:pPr>
      <w:r>
        <w:rPr>
          <w:b/>
          <w:bCs/>
          <w:i/>
          <w:iCs/>
        </w:rPr>
        <w:tab/>
      </w:r>
      <w:r w:rsidR="00B02120" w:rsidRPr="00B02120">
        <w:rPr>
          <w:b/>
          <w:bCs/>
        </w:rPr>
        <w:t>Parenting Stress Index (PSI).</w:t>
      </w:r>
      <w:r w:rsidR="00B02120">
        <w:rPr>
          <w:b/>
          <w:bCs/>
          <w:i/>
          <w:iCs/>
        </w:rPr>
        <w:t xml:space="preserve"> </w:t>
      </w:r>
      <w:r>
        <w:t xml:space="preserve">The Parenting Stress Index (PSI-4; </w:t>
      </w:r>
      <w:r w:rsidR="00AA0D64" w:rsidRPr="000F0928">
        <w:rPr>
          <w:rFonts w:hint="eastAsia"/>
        </w:rPr>
        <w:t>Abidin,</w:t>
      </w:r>
      <w:r w:rsidR="00AA0D64">
        <w:t xml:space="preserve"> </w:t>
      </w:r>
      <w:r w:rsidR="00AA0D64" w:rsidRPr="000F0928">
        <w:rPr>
          <w:rFonts w:hint="eastAsia"/>
        </w:rPr>
        <w:t>1983</w:t>
      </w:r>
      <w:r>
        <w:t xml:space="preserve">) is </w:t>
      </w:r>
      <w:r w:rsidR="00E755F2">
        <w:t xml:space="preserve">a reliable and valid </w:t>
      </w:r>
      <w:r>
        <w:t>measure used to determine the extent of stress within the parent-child dynamic.</w:t>
      </w:r>
      <w:r w:rsidR="00AE3648">
        <w:t xml:space="preserve"> The PSI-4-SF (short form), utilized in this study, consists of an abbreviated 36-item inventory divided into three domains: Parental Distress (PD), Parent-Child Dysfunctional Interaction (P-CDI), and Difficult Child (DC).</w:t>
      </w:r>
      <w:r w:rsidR="00713776">
        <w:t xml:space="preserve"> Responses are </w:t>
      </w:r>
      <w:r w:rsidR="00ED175C">
        <w:t xml:space="preserve">scaled using a t-score distribution.  </w:t>
      </w:r>
      <w:r w:rsidR="009D18B4">
        <w:t xml:space="preserve">The </w:t>
      </w:r>
      <w:r w:rsidR="00173629">
        <w:t xml:space="preserve">Parental </w:t>
      </w:r>
      <w:r w:rsidR="001502CE">
        <w:t xml:space="preserve">Distress </w:t>
      </w:r>
      <w:r w:rsidR="00173629">
        <w:t>S</w:t>
      </w:r>
      <w:r w:rsidR="009D18B4">
        <w:t xml:space="preserve">core </w:t>
      </w:r>
      <w:r w:rsidR="00ED175C">
        <w:t xml:space="preserve">was used to reflect parental perception of </w:t>
      </w:r>
      <w:r w:rsidR="001502CE">
        <w:t xml:space="preserve">their own </w:t>
      </w:r>
      <w:r w:rsidR="00ED175C">
        <w:t xml:space="preserve">parenting distress over the past week. </w:t>
      </w:r>
    </w:p>
    <w:p w14:paraId="1FFB8515" w14:textId="06689774" w:rsidR="00AC6138" w:rsidRPr="00194341" w:rsidRDefault="00D558FE" w:rsidP="00123285">
      <w:pPr>
        <w:spacing w:line="480" w:lineRule="auto"/>
        <w:ind w:firstLine="720"/>
      </w:pPr>
      <w:r>
        <w:rPr>
          <w:b/>
          <w:bCs/>
        </w:rPr>
        <w:t>Caregiver</w:t>
      </w:r>
      <w:r>
        <w:t xml:space="preserve"> </w:t>
      </w:r>
      <w:r w:rsidR="0022669C" w:rsidRPr="0022669C">
        <w:rPr>
          <w:b/>
          <w:bCs/>
        </w:rPr>
        <w:t xml:space="preserve">Acculturation </w:t>
      </w:r>
      <w:r w:rsidR="0022669C">
        <w:rPr>
          <w:b/>
          <w:bCs/>
        </w:rPr>
        <w:t>Ratings</w:t>
      </w:r>
      <w:r w:rsidR="00713776">
        <w:rPr>
          <w:b/>
          <w:bCs/>
        </w:rPr>
        <w:t xml:space="preserve">. </w:t>
      </w:r>
      <w:r>
        <w:t xml:space="preserve">Caregiver acculturation status was </w:t>
      </w:r>
      <w:r w:rsidR="001F086E">
        <w:t xml:space="preserve">explored </w:t>
      </w:r>
      <w:r>
        <w:t>as an indicator of potential stress</w:t>
      </w:r>
      <w:r w:rsidR="001502CE">
        <w:t>, as less identification with mainstream culture, coupled with high identification with heritage culture has been theorized to be a potential stressor (</w:t>
      </w:r>
      <w:r w:rsidR="00700671">
        <w:t>e.g.,</w:t>
      </w:r>
      <w:r w:rsidR="001502CE">
        <w:t xml:space="preserve"> Be</w:t>
      </w:r>
      <w:r w:rsidR="0096009B">
        <w:t>r</w:t>
      </w:r>
      <w:r w:rsidR="001502CE">
        <w:t>ry, 1980)</w:t>
      </w:r>
      <w:r>
        <w:t xml:space="preserve">. </w:t>
      </w:r>
      <w:r w:rsidR="0022669C">
        <w:t xml:space="preserve">Prior to the appointment, caregivers were asked “On a scale from 0 to 10, where 0 is </w:t>
      </w:r>
      <w:r w:rsidR="00EB7C7E">
        <w:t>‘</w:t>
      </w:r>
      <w:r w:rsidR="0022669C">
        <w:t>Not at All</w:t>
      </w:r>
      <w:r w:rsidR="00EB7C7E">
        <w:t>’</w:t>
      </w:r>
      <w:r w:rsidR="0022669C">
        <w:t xml:space="preserve"> and 10 is </w:t>
      </w:r>
      <w:r w:rsidR="00EB7C7E">
        <w:t>‘</w:t>
      </w:r>
      <w:r w:rsidR="0022669C">
        <w:t>Completely</w:t>
      </w:r>
      <w:r w:rsidR="00EB7C7E">
        <w:t>’</w:t>
      </w:r>
      <w:r w:rsidR="0022669C">
        <w:t>, how much do you feel your way of life reflects your heritage culture?”.</w:t>
      </w:r>
      <w:r w:rsidR="00137388">
        <w:t xml:space="preserve"> As added context, </w:t>
      </w:r>
      <w:r w:rsidR="00194341">
        <w:t>the following</w:t>
      </w:r>
      <w:r w:rsidR="00137388">
        <w:t xml:space="preserve"> description of heritage culture was provided </w:t>
      </w:r>
      <w:r w:rsidR="00194341">
        <w:t xml:space="preserve">to participants, </w:t>
      </w:r>
      <w:r w:rsidR="00137388">
        <w:t xml:space="preserve">“It may be the culture of your birth, the culture in which you have been raised, or </w:t>
      </w:r>
      <w:r w:rsidR="00137388">
        <w:lastRenderedPageBreak/>
        <w:t>another culture that forms part of your background. Pick the culture that has influenced you most. If you do not feel that you have been influenced by any other culture, please try to identify the culture that may have had the most impact on previous generations of your family”.</w:t>
      </w:r>
      <w:r w:rsidR="0022669C">
        <w:t xml:space="preserve"> Caregivers were then asked, “On a scale from 0 to 10, where 0 is </w:t>
      </w:r>
      <w:r w:rsidR="00EB7C7E">
        <w:t>‘</w:t>
      </w:r>
      <w:r w:rsidR="0022669C">
        <w:t>Not at All</w:t>
      </w:r>
      <w:r w:rsidR="00EB7C7E">
        <w:t xml:space="preserve">’ </w:t>
      </w:r>
      <w:r w:rsidR="0022669C">
        <w:t xml:space="preserve">and 10 is </w:t>
      </w:r>
      <w:r w:rsidR="00EB7C7E">
        <w:t>‘</w:t>
      </w:r>
      <w:r w:rsidR="0022669C">
        <w:t>Completely</w:t>
      </w:r>
      <w:r w:rsidR="00EB7C7E">
        <w:t>’</w:t>
      </w:r>
      <w:r w:rsidR="0022669C">
        <w:t>, how much do you feel your way of life reflects mainstream North American/Canadian culture?”.</w:t>
      </w:r>
      <w:r w:rsidR="00EC31CF">
        <w:t xml:space="preserve"> </w:t>
      </w:r>
      <w:r w:rsidR="00AC6138">
        <w:t>Higher scores reflect greater identification with mainstream or heritage culture.</w:t>
      </w:r>
      <w:r w:rsidR="00123285">
        <w:t xml:space="preserve"> </w:t>
      </w:r>
    </w:p>
    <w:p w14:paraId="47A4A096" w14:textId="31DBB5F7" w:rsidR="0022669C" w:rsidRPr="00194341" w:rsidRDefault="00AC6138" w:rsidP="003A3783">
      <w:pPr>
        <w:spacing w:line="480" w:lineRule="auto"/>
        <w:ind w:firstLine="720"/>
      </w:pPr>
      <w:r>
        <w:t xml:space="preserve">When possible, caregivers’ self-reported heritage culture was coded into the ethnic and cultural categories defined by Statistics Canada (2021), including North American, European, Caribbean, Latin/Central/South American, African, </w:t>
      </w:r>
      <w:r w:rsidR="006B42C5">
        <w:t xml:space="preserve">Asian, </w:t>
      </w:r>
      <w:r>
        <w:t>Oceanian</w:t>
      </w:r>
      <w:r w:rsidR="006B42C5">
        <w:t>, and Middle Eastern</w:t>
      </w:r>
      <w:r>
        <w:t xml:space="preserve">. Not all responses fit into ethnic and cultural categories based on geographic origin.  Non-geographic based self-reported ethnic and cultural responses were listed together (e.g., Jewish, Christian, Muslim). </w:t>
      </w:r>
      <w:r w:rsidR="003A3783">
        <w:t>Measuring acculturation allows researchers to better understand the extent to which mainstream North American culture and caregivers’ own heritage culture are reflected in caregivers’ daily lives. It was adapted (see Pillai Riddell et al., 2018) from the Vancouver Index of Acculturation (Ryder et al., 2000) and Berry’s (1992) bi</w:t>
      </w:r>
      <w:r w:rsidR="006F59B5">
        <w:t>-</w:t>
      </w:r>
      <w:r w:rsidR="003A3783">
        <w:t>dimensional model of acculturation.</w:t>
      </w:r>
    </w:p>
    <w:p w14:paraId="59AC5A1F" w14:textId="2A511260" w:rsidR="00D24CB2" w:rsidRPr="00FC51D3" w:rsidRDefault="000F466E" w:rsidP="0092176E">
      <w:pPr>
        <w:spacing w:line="480" w:lineRule="auto"/>
        <w:rPr>
          <w:b/>
          <w:bCs/>
        </w:rPr>
      </w:pPr>
      <w:r w:rsidRPr="00FC51D3">
        <w:rPr>
          <w:b/>
          <w:bCs/>
        </w:rPr>
        <w:t>Statistical Analysis</w:t>
      </w:r>
      <w:r w:rsidR="002B45A7">
        <w:rPr>
          <w:b/>
          <w:bCs/>
        </w:rPr>
        <w:t xml:space="preserve"> Plan</w:t>
      </w:r>
    </w:p>
    <w:p w14:paraId="6BB7511C" w14:textId="5038FFD2" w:rsidR="00926841" w:rsidRDefault="00D24CB2" w:rsidP="005E7FCD">
      <w:pPr>
        <w:spacing w:line="480" w:lineRule="auto"/>
        <w:ind w:firstLine="720"/>
      </w:pPr>
      <w:r w:rsidRPr="004F690F">
        <w:t xml:space="preserve">Bivariate correlations </w:t>
      </w:r>
      <w:r w:rsidR="002B45A7" w:rsidRPr="004F690F">
        <w:t>between the predictor variables and caregiver pain ratings were examined.</w:t>
      </w:r>
      <w:r w:rsidR="002B45A7">
        <w:t xml:space="preserve"> </w:t>
      </w:r>
      <w:r w:rsidR="00175C1B">
        <w:t xml:space="preserve">Three linear regression models </w:t>
      </w:r>
      <w:r w:rsidR="00DA734C">
        <w:t xml:space="preserve">examined each of the clusters of predictors separately (FLACC, NFCS, </w:t>
      </w:r>
      <w:r w:rsidR="00A62B54">
        <w:t xml:space="preserve">and </w:t>
      </w:r>
      <w:r w:rsidR="0058516C">
        <w:t>c</w:t>
      </w:r>
      <w:r w:rsidR="00DA734C">
        <w:t>aregiver psychological</w:t>
      </w:r>
      <w:r w:rsidR="002164DA">
        <w:t>/emotional functioning</w:t>
      </w:r>
      <w:r w:rsidR="00DA734C">
        <w:t xml:space="preserve"> variables; child sex was used as a covariate) to parsimoniously build a final model that integrated both toddler pain behaviour and parent psychological variables</w:t>
      </w:r>
      <w:r w:rsidR="00BC1101">
        <w:t>. A</w:t>
      </w:r>
      <w:r w:rsidR="00175C1B">
        <w:t xml:space="preserve"> </w:t>
      </w:r>
      <w:r w:rsidR="00DA734C">
        <w:t xml:space="preserve">final </w:t>
      </w:r>
      <w:r w:rsidR="00175C1B">
        <w:t xml:space="preserve">hierarchical linear </w:t>
      </w:r>
      <w:r w:rsidR="002B45A7">
        <w:t xml:space="preserve">regression model </w:t>
      </w:r>
      <w:r w:rsidR="00BC1101">
        <w:t>was</w:t>
      </w:r>
      <w:r w:rsidRPr="004A6035">
        <w:t xml:space="preserve"> </w:t>
      </w:r>
      <w:r w:rsidR="002B45A7">
        <w:t xml:space="preserve">estimated </w:t>
      </w:r>
      <w:r w:rsidRPr="004A6035">
        <w:t xml:space="preserve">to </w:t>
      </w:r>
      <w:r w:rsidR="00146E50">
        <w:t xml:space="preserve">examine the relative contribution of child and caregiver factors to the prediction of </w:t>
      </w:r>
      <w:r w:rsidR="00146E50">
        <w:lastRenderedPageBreak/>
        <w:t>caregiver</w:t>
      </w:r>
      <w:r w:rsidR="002B45A7">
        <w:t xml:space="preserve"> pain ratings</w:t>
      </w:r>
      <w:r w:rsidR="00173629">
        <w:t xml:space="preserve">. </w:t>
      </w:r>
      <w:r w:rsidR="00A82EB0">
        <w:t xml:space="preserve">The fourth and final model included only the significant predictors from the first three models. </w:t>
      </w:r>
      <w:r w:rsidR="005E7FCD">
        <w:t xml:space="preserve">Child sex was included as a covariate in the first three models because previous research </w:t>
      </w:r>
      <w:r w:rsidR="00926841">
        <w:t>has shown</w:t>
      </w:r>
      <w:r w:rsidR="005E7FCD">
        <w:t xml:space="preserve"> that infant sex predicts parental pain ratings (Moon et al., 2008; Pillai Riddell et al., 2014). However, child sex was not included in the final model as it was not a significant predictor of pain ratings in this sample. </w:t>
      </w:r>
    </w:p>
    <w:p w14:paraId="440A482E" w14:textId="2BF92773" w:rsidR="00D24CB2" w:rsidRDefault="00EB77A0" w:rsidP="005E7FCD">
      <w:pPr>
        <w:spacing w:line="480" w:lineRule="auto"/>
        <w:ind w:firstLine="720"/>
      </w:pPr>
      <w:r>
        <w:t>This study experienced missing data across the different variables</w:t>
      </w:r>
      <w:r w:rsidR="009D18B4">
        <w:t xml:space="preserve"> and this was examined qualitatively</w:t>
      </w:r>
      <w:r>
        <w:t xml:space="preserve">. Missing data most often </w:t>
      </w:r>
      <w:r w:rsidR="009D18B4">
        <w:t xml:space="preserve">randomly </w:t>
      </w:r>
      <w:r>
        <w:t xml:space="preserve">occurred for the </w:t>
      </w:r>
      <w:r w:rsidR="00A82EB0">
        <w:t>child facial coding</w:t>
      </w:r>
      <w:r>
        <w:t xml:space="preserve"> data due to equipment failure at the clinics. </w:t>
      </w:r>
      <w:r w:rsidR="00CB71AB">
        <w:t xml:space="preserve">At most, missing NFCS data per time point (pre-needle, post-needles 1,2 and 3) reached 51 (out of 156) missing values (post-needle 2), </w:t>
      </w:r>
      <w:r w:rsidR="0022799C">
        <w:t>though</w:t>
      </w:r>
      <w:r w:rsidR="00CB71AB">
        <w:t xml:space="preserve"> the other time points experienced less data loss. In terms of post-visit phone calls, 28 parents were unreachable for the BSI and 22 were missing for the PSI. All other variables experienced less than </w:t>
      </w:r>
      <w:r w:rsidR="00AB730E">
        <w:t>10</w:t>
      </w:r>
      <w:r w:rsidR="00CB71AB">
        <w:t xml:space="preserve">% of data loss. Missing data were handled using pairwise deletion for each analysis. </w:t>
      </w:r>
      <w:r w:rsidR="004A6035" w:rsidRPr="0052704B">
        <w:t xml:space="preserve">All assumptions for multiple </w:t>
      </w:r>
      <w:r w:rsidR="00146E50">
        <w:t xml:space="preserve">linear </w:t>
      </w:r>
      <w:r w:rsidR="004A6035" w:rsidRPr="0052704B">
        <w:t>regression were tested and met.</w:t>
      </w:r>
      <w:r w:rsidR="00A82EB0">
        <w:t xml:space="preserve"> </w:t>
      </w:r>
      <w:r w:rsidR="0069462A">
        <w:t xml:space="preserve">IBM SPSS Statistics Software (Version </w:t>
      </w:r>
      <w:r w:rsidR="00E767D8">
        <w:t>28</w:t>
      </w:r>
      <w:r w:rsidR="0069462A">
        <w:t>) was used for all analyses.</w:t>
      </w:r>
      <w:r w:rsidR="005A4FFC">
        <w:t xml:space="preserve"> </w:t>
      </w:r>
      <w:r w:rsidR="00C43725" w:rsidRPr="0067297A">
        <w:rPr>
          <w:color w:val="000000" w:themeColor="text1"/>
        </w:rPr>
        <w:t xml:space="preserve">Power analyses indicated </w:t>
      </w:r>
      <w:r w:rsidR="00A62B54" w:rsidRPr="0067297A">
        <w:rPr>
          <w:color w:val="000000" w:themeColor="text1"/>
        </w:rPr>
        <w:t xml:space="preserve">an </w:t>
      </w:r>
      <w:r w:rsidR="00C43725" w:rsidRPr="0067297A">
        <w:rPr>
          <w:color w:val="000000" w:themeColor="text1"/>
        </w:rPr>
        <w:t xml:space="preserve">adequate sample size </w:t>
      </w:r>
      <w:r w:rsidR="00C43725" w:rsidRPr="0067297A">
        <w:rPr>
          <w:color w:val="000000" w:themeColor="text1"/>
          <w:shd w:val="clear" w:color="auto" w:fill="FFFFFF"/>
        </w:rPr>
        <w:t>to achieve 80% power for a medium effect at a significance criterion of α = .05.</w:t>
      </w:r>
      <w:r w:rsidR="00C43725" w:rsidRPr="0067297A">
        <w:rPr>
          <w:rFonts w:ascii="Verdana" w:hAnsi="Verdana"/>
          <w:color w:val="000000" w:themeColor="text1"/>
          <w:sz w:val="17"/>
          <w:szCs w:val="17"/>
          <w:shd w:val="clear" w:color="auto" w:fill="FFFFFF"/>
        </w:rPr>
        <w:t xml:space="preserve"> </w:t>
      </w:r>
      <w:r w:rsidR="005A4FFC" w:rsidRPr="0067297A">
        <w:rPr>
          <w:color w:val="000000" w:themeColor="text1"/>
        </w:rPr>
        <w:t>Data available on request.</w:t>
      </w:r>
    </w:p>
    <w:p w14:paraId="4E4812CF" w14:textId="133E3DC0" w:rsidR="00BC5042" w:rsidRDefault="00B66736" w:rsidP="00A62B54">
      <w:pPr>
        <w:spacing w:line="480" w:lineRule="auto"/>
        <w:jc w:val="center"/>
        <w:rPr>
          <w:b/>
          <w:bCs/>
        </w:rPr>
      </w:pPr>
      <w:r w:rsidRPr="00B66736">
        <w:rPr>
          <w:b/>
          <w:bCs/>
        </w:rPr>
        <w:t>Results</w:t>
      </w:r>
    </w:p>
    <w:p w14:paraId="20757456" w14:textId="2768EF3D" w:rsidR="006E7147" w:rsidRDefault="00390B72" w:rsidP="00175C1B">
      <w:pPr>
        <w:spacing w:line="480" w:lineRule="auto"/>
        <w:ind w:firstLine="720"/>
        <w:rPr>
          <w:b/>
          <w:bCs/>
        </w:rPr>
      </w:pPr>
      <w:r>
        <w:t xml:space="preserve">Means and standard deviations of all variables are included in </w:t>
      </w:r>
      <w:r w:rsidRPr="00E62D31">
        <w:t>Table</w:t>
      </w:r>
      <w:r w:rsidR="00FE1BF9">
        <w:t>s</w:t>
      </w:r>
      <w:r>
        <w:t xml:space="preserve"> 2</w:t>
      </w:r>
      <w:r w:rsidR="00FE1BF9">
        <w:t xml:space="preserve">-4, </w:t>
      </w:r>
      <w:r w:rsidR="006E7147">
        <w:t xml:space="preserve">as well as </w:t>
      </w:r>
      <w:r w:rsidR="00FE1BF9">
        <w:t>inter</w:t>
      </w:r>
      <w:r w:rsidR="006E7147" w:rsidRPr="006E7147">
        <w:t>c</w:t>
      </w:r>
      <w:r w:rsidR="000439F3" w:rsidRPr="006E7147">
        <w:t>orrelations among predictor variables of interest and the outcome (caregiver pain ratings</w:t>
      </w:r>
      <w:r w:rsidR="006E7147" w:rsidRPr="006E7147">
        <w:t>).</w:t>
      </w:r>
      <w:r w:rsidR="00FD1CA7">
        <w:tab/>
      </w:r>
    </w:p>
    <w:p w14:paraId="5674987E" w14:textId="4C70F569" w:rsidR="00BE4E4B" w:rsidRPr="00DF1744" w:rsidRDefault="00753E65" w:rsidP="00FD1CA7">
      <w:pPr>
        <w:spacing w:line="480" w:lineRule="auto"/>
        <w:rPr>
          <w:b/>
          <w:bCs/>
        </w:rPr>
      </w:pPr>
      <w:r w:rsidRPr="00DF1744">
        <w:rPr>
          <w:b/>
          <w:bCs/>
        </w:rPr>
        <w:t>Predicting</w:t>
      </w:r>
      <w:r w:rsidR="00584956" w:rsidRPr="00DF1744">
        <w:rPr>
          <w:b/>
          <w:bCs/>
        </w:rPr>
        <w:t xml:space="preserve"> </w:t>
      </w:r>
      <w:r w:rsidR="00BE770F">
        <w:rPr>
          <w:b/>
          <w:bCs/>
        </w:rPr>
        <w:t>Caregiver</w:t>
      </w:r>
      <w:r w:rsidRPr="00DF1744">
        <w:rPr>
          <w:b/>
          <w:bCs/>
        </w:rPr>
        <w:t xml:space="preserve"> Pain Ratings</w:t>
      </w:r>
      <w:r w:rsidR="00BC1101">
        <w:rPr>
          <w:b/>
          <w:bCs/>
        </w:rPr>
        <w:t>: Models 1-3</w:t>
      </w:r>
    </w:p>
    <w:p w14:paraId="6D185618" w14:textId="7BBDCCEF" w:rsidR="003A5986" w:rsidRDefault="006E5272" w:rsidP="002F32FB">
      <w:pPr>
        <w:spacing w:line="480" w:lineRule="auto"/>
      </w:pPr>
      <w:r>
        <w:tab/>
      </w:r>
      <w:r w:rsidR="0021738A">
        <w:t>Supplementary t</w:t>
      </w:r>
      <w:r w:rsidR="00584956" w:rsidRPr="004E55D6">
        <w:t>able</w:t>
      </w:r>
      <w:r w:rsidR="00BC1101">
        <w:t>s</w:t>
      </w:r>
      <w:r w:rsidR="00584956" w:rsidRPr="004E55D6">
        <w:t xml:space="preserve"> </w:t>
      </w:r>
      <w:r w:rsidR="0021738A">
        <w:t>1</w:t>
      </w:r>
      <w:r w:rsidR="00BC1101">
        <w:t>-</w:t>
      </w:r>
      <w:r w:rsidR="0021738A">
        <w:t>3</w:t>
      </w:r>
      <w:r w:rsidR="00BC1101">
        <w:t xml:space="preserve"> </w:t>
      </w:r>
      <w:r w:rsidR="003B5D8B">
        <w:t>present</w:t>
      </w:r>
      <w:r w:rsidR="00584956" w:rsidRPr="004E55D6">
        <w:t xml:space="preserve"> the details of the first </w:t>
      </w:r>
      <w:r w:rsidR="00BC1101">
        <w:t xml:space="preserve">three </w:t>
      </w:r>
      <w:r w:rsidR="00584956" w:rsidRPr="004E55D6">
        <w:t>linear regression model</w:t>
      </w:r>
      <w:r w:rsidR="00BC1101">
        <w:t>s</w:t>
      </w:r>
      <w:r w:rsidR="00584956" w:rsidRPr="004E55D6">
        <w:t xml:space="preserve"> predicting caregiver pain ratings</w:t>
      </w:r>
      <w:r w:rsidR="00585F51">
        <w:t xml:space="preserve"> from FLACC scores</w:t>
      </w:r>
      <w:r w:rsidR="00BC1101">
        <w:t xml:space="preserve">, NFCS scores, and caregiver </w:t>
      </w:r>
      <w:r w:rsidR="002F32FB">
        <w:t>psychological</w:t>
      </w:r>
      <w:r w:rsidR="00BC1101">
        <w:t xml:space="preserve"> variables</w:t>
      </w:r>
      <w:r w:rsidR="002F32FB">
        <w:t xml:space="preserve"> separately</w:t>
      </w:r>
      <w:r w:rsidR="00584956">
        <w:t>.</w:t>
      </w:r>
      <w:r w:rsidR="00926841">
        <w:t xml:space="preserve">  Based on these penultimate models, NFCS Reactivity, FLACC Reactivity, </w:t>
      </w:r>
      <w:r w:rsidR="00926841">
        <w:lastRenderedPageBreak/>
        <w:t>FLACC Minute 1, FLACC Minute 2, Pre-</w:t>
      </w:r>
      <w:r w:rsidR="002F32FB">
        <w:t>needle worry,</w:t>
      </w:r>
      <w:r w:rsidR="00926841">
        <w:t xml:space="preserve"> and </w:t>
      </w:r>
      <w:proofErr w:type="gramStart"/>
      <w:r w:rsidR="00926841">
        <w:t>Post-</w:t>
      </w:r>
      <w:r w:rsidR="002F32FB">
        <w:t>needle</w:t>
      </w:r>
      <w:proofErr w:type="gramEnd"/>
      <w:r w:rsidR="002F32FB">
        <w:t xml:space="preserve"> worry</w:t>
      </w:r>
      <w:r w:rsidR="00926841">
        <w:t xml:space="preserve"> </w:t>
      </w:r>
      <w:r w:rsidR="002F32FB">
        <w:t xml:space="preserve">were tested in the final model. </w:t>
      </w:r>
      <w:r w:rsidR="00584956">
        <w:t xml:space="preserve"> </w:t>
      </w:r>
    </w:p>
    <w:p w14:paraId="3A1C427F" w14:textId="4FCA4978" w:rsidR="00A11A94" w:rsidRPr="00DF1744" w:rsidRDefault="009F6352" w:rsidP="00A11A94">
      <w:pPr>
        <w:spacing w:line="480" w:lineRule="auto"/>
        <w:rPr>
          <w:b/>
          <w:bCs/>
        </w:rPr>
      </w:pPr>
      <w:r>
        <w:rPr>
          <w:b/>
          <w:bCs/>
        </w:rPr>
        <w:t xml:space="preserve">Final Model: </w:t>
      </w:r>
      <w:r w:rsidR="00A11A94" w:rsidRPr="00DF1744">
        <w:rPr>
          <w:b/>
          <w:bCs/>
        </w:rPr>
        <w:t>Predicting</w:t>
      </w:r>
      <w:r w:rsidR="00DF1744" w:rsidRPr="00DF1744">
        <w:rPr>
          <w:b/>
          <w:bCs/>
        </w:rPr>
        <w:t xml:space="preserve"> </w:t>
      </w:r>
      <w:r w:rsidR="00BE770F">
        <w:rPr>
          <w:b/>
          <w:bCs/>
        </w:rPr>
        <w:t>Caregiver</w:t>
      </w:r>
      <w:r w:rsidR="00A11A94" w:rsidRPr="00DF1744">
        <w:rPr>
          <w:b/>
          <w:bCs/>
        </w:rPr>
        <w:t xml:space="preserve"> Pain Ratings</w:t>
      </w:r>
      <w:r w:rsidR="002F1CA6">
        <w:rPr>
          <w:b/>
          <w:bCs/>
        </w:rPr>
        <w:t xml:space="preserve"> with All Significant Predictors</w:t>
      </w:r>
    </w:p>
    <w:p w14:paraId="64217782" w14:textId="4F94A952" w:rsidR="00247487" w:rsidRPr="00DF1744" w:rsidRDefault="00F91AFF" w:rsidP="00050EE4">
      <w:pPr>
        <w:spacing w:line="480" w:lineRule="auto"/>
      </w:pPr>
      <w:r>
        <w:tab/>
      </w:r>
      <w:r w:rsidR="009700C2" w:rsidRPr="004E55D6">
        <w:t xml:space="preserve">Table </w:t>
      </w:r>
      <w:r w:rsidR="0021738A">
        <w:t>5</w:t>
      </w:r>
      <w:r w:rsidR="009700C2" w:rsidRPr="004E55D6">
        <w:t xml:space="preserve"> presents the details of the</w:t>
      </w:r>
      <w:r w:rsidR="002F1CA6" w:rsidRPr="004E55D6">
        <w:t xml:space="preserve"> final</w:t>
      </w:r>
      <w:r w:rsidR="009700C2" w:rsidRPr="004E55D6">
        <w:t xml:space="preserve"> linear regression model predicting caregiver pain ratings</w:t>
      </w:r>
      <w:r w:rsidR="00186715">
        <w:t xml:space="preserve"> using the </w:t>
      </w:r>
      <w:r w:rsidR="002F32FB">
        <w:t xml:space="preserve">significant </w:t>
      </w:r>
      <w:r w:rsidR="00186715">
        <w:t>predictors from the first three models</w:t>
      </w:r>
      <w:r w:rsidR="009700C2" w:rsidRPr="004E55D6">
        <w:t>.</w:t>
      </w:r>
      <w:r w:rsidR="009700C2">
        <w:t xml:space="preserve"> </w:t>
      </w:r>
      <w:r w:rsidR="007345A5">
        <w:t xml:space="preserve">The results of the regression revealed that the </w:t>
      </w:r>
      <w:r w:rsidR="00247487">
        <w:t>model</w:t>
      </w:r>
      <w:r w:rsidR="0031373D">
        <w:t xml:space="preserve"> was </w:t>
      </w:r>
      <w:r w:rsidR="00247487">
        <w:t>significant</w:t>
      </w:r>
      <w:r w:rsidR="0031373D">
        <w:t xml:space="preserve"> </w:t>
      </w:r>
      <w:proofErr w:type="gramStart"/>
      <w:r w:rsidR="0031373D">
        <w:t>F(</w:t>
      </w:r>
      <w:proofErr w:type="gramEnd"/>
      <w:r w:rsidR="00247487">
        <w:t>6</w:t>
      </w:r>
      <w:r w:rsidR="0031373D">
        <w:t>,</w:t>
      </w:r>
      <w:r w:rsidR="00247487">
        <w:t>107</w:t>
      </w:r>
      <w:r w:rsidR="0031373D">
        <w:t xml:space="preserve">) = </w:t>
      </w:r>
      <w:r w:rsidR="00247487">
        <w:t>5.95</w:t>
      </w:r>
      <w:r w:rsidR="0031373D">
        <w:t xml:space="preserve">, </w:t>
      </w:r>
      <w:r w:rsidR="0031373D" w:rsidRPr="007F01FB">
        <w:rPr>
          <w:i/>
          <w:iCs/>
        </w:rPr>
        <w:t>p</w:t>
      </w:r>
      <w:r w:rsidR="0031373D">
        <w:t xml:space="preserve"> </w:t>
      </w:r>
      <w:r w:rsidR="00247487">
        <w:t>&lt;</w:t>
      </w:r>
      <w:r w:rsidR="0031373D">
        <w:t xml:space="preserve"> .0</w:t>
      </w:r>
      <w:r w:rsidR="00247487">
        <w:t>01, accounting for 2</w:t>
      </w:r>
      <w:r w:rsidR="00241BD6">
        <w:t>0.8</w:t>
      </w:r>
      <w:r w:rsidR="00247487">
        <w:t>% of the variance in caregiver pain ratings</w:t>
      </w:r>
      <w:r w:rsidR="002860EF">
        <w:t>.</w:t>
      </w:r>
      <w:r w:rsidR="001132F6">
        <w:t xml:space="preserve"> </w:t>
      </w:r>
      <w:r w:rsidR="002860EF">
        <w:t>C</w:t>
      </w:r>
      <w:r w:rsidR="00247487" w:rsidRPr="00247487">
        <w:t xml:space="preserve">aregiver </w:t>
      </w:r>
      <w:r w:rsidR="002F32FB">
        <w:t xml:space="preserve">psychological </w:t>
      </w:r>
      <w:r w:rsidR="00247487" w:rsidRPr="00247487">
        <w:t>variables, namely pre- and post-needle worry, were the only predictors that remained significant</w:t>
      </w:r>
      <w:r w:rsidR="00247487">
        <w:t xml:space="preserve"> (</w:t>
      </w:r>
      <w:r w:rsidR="00247487" w:rsidRPr="00A27C02">
        <w:t>β</w:t>
      </w:r>
      <w:r w:rsidR="00247487">
        <w:t xml:space="preserve"> = .2</w:t>
      </w:r>
      <w:r w:rsidR="00EE52B6">
        <w:t>3</w:t>
      </w:r>
      <w:r w:rsidR="00247487">
        <w:t xml:space="preserve">, </w:t>
      </w:r>
      <w:r w:rsidR="00247487">
        <w:rPr>
          <w:i/>
          <w:iCs/>
        </w:rPr>
        <w:t>p</w:t>
      </w:r>
      <w:r w:rsidR="00247487">
        <w:t xml:space="preserve"> </w:t>
      </w:r>
      <w:r w:rsidR="009214C1">
        <w:t>&lt;</w:t>
      </w:r>
      <w:r w:rsidR="00247487">
        <w:t xml:space="preserve"> .0</w:t>
      </w:r>
      <w:r w:rsidR="009214C1">
        <w:t>5</w:t>
      </w:r>
      <w:r w:rsidR="002860EF">
        <w:t xml:space="preserve"> and </w:t>
      </w:r>
      <w:r w:rsidR="00247487" w:rsidRPr="00A27C02">
        <w:t>β</w:t>
      </w:r>
      <w:r w:rsidR="00247487">
        <w:t xml:space="preserve"> = .2</w:t>
      </w:r>
      <w:r w:rsidR="00EE52B6">
        <w:t>1</w:t>
      </w:r>
      <w:r w:rsidR="00247487">
        <w:t xml:space="preserve">, </w:t>
      </w:r>
      <w:r w:rsidR="00247487">
        <w:rPr>
          <w:i/>
          <w:iCs/>
        </w:rPr>
        <w:t>p</w:t>
      </w:r>
      <w:r w:rsidR="00247487">
        <w:t xml:space="preserve"> </w:t>
      </w:r>
      <w:r w:rsidR="009214C1">
        <w:t>&lt;</w:t>
      </w:r>
      <w:r w:rsidR="00247487">
        <w:t xml:space="preserve"> .0</w:t>
      </w:r>
      <w:r w:rsidR="009214C1">
        <w:t>5</w:t>
      </w:r>
      <w:r w:rsidR="002860EF">
        <w:t xml:space="preserve"> respectively</w:t>
      </w:r>
      <w:r w:rsidR="00247487">
        <w:t>)</w:t>
      </w:r>
      <w:r w:rsidR="00643572">
        <w:t>, with more pre- and post-worry indicating higher pain ratings</w:t>
      </w:r>
      <w:r w:rsidR="00247487" w:rsidRPr="00247487">
        <w:t xml:space="preserve">. </w:t>
      </w:r>
      <w:r w:rsidR="00CE6829">
        <w:t>Steps 1 and 2 in the final model also significantly predicted pain ratings (accounting for 8% and 9% of the variance in pain ratings), with greater behavioural child pain generally predicting a higher caregiver pain rating (with the exception of FLACC minute 1). However, none of these variables independently contributed to the outcome</w:t>
      </w:r>
      <w:r w:rsidR="003903DB">
        <w:t xml:space="preserve"> as did </w:t>
      </w:r>
      <w:r w:rsidR="00CE6829">
        <w:t xml:space="preserve">pre- and post-needle worry </w:t>
      </w:r>
      <w:r w:rsidR="003903DB">
        <w:t xml:space="preserve">which </w:t>
      </w:r>
      <w:r w:rsidR="00CE6829">
        <w:t xml:space="preserve">emerged as unique predictors in the final step. </w:t>
      </w:r>
    </w:p>
    <w:p w14:paraId="006A41A6" w14:textId="581827D4" w:rsidR="001778C5" w:rsidRDefault="001778C5" w:rsidP="00007432">
      <w:pPr>
        <w:spacing w:line="480" w:lineRule="auto"/>
        <w:jc w:val="center"/>
        <w:rPr>
          <w:b/>
          <w:bCs/>
        </w:rPr>
      </w:pPr>
      <w:r>
        <w:rPr>
          <w:b/>
          <w:bCs/>
        </w:rPr>
        <w:t>Discussion</w:t>
      </w:r>
    </w:p>
    <w:p w14:paraId="5F22FC54" w14:textId="255EA781" w:rsidR="00B33E88" w:rsidRDefault="00067516" w:rsidP="004511D9">
      <w:pPr>
        <w:spacing w:line="480" w:lineRule="auto"/>
        <w:ind w:firstLine="720"/>
      </w:pPr>
      <w:r>
        <w:t xml:space="preserve">The </w:t>
      </w:r>
      <w:r w:rsidR="00C477CE">
        <w:t>goal of this study</w:t>
      </w:r>
      <w:r>
        <w:t xml:space="preserve"> was to </w:t>
      </w:r>
      <w:r w:rsidRPr="00137E54">
        <w:t xml:space="preserve">examine the relative contributions of child and caregiver factors in predicting </w:t>
      </w:r>
      <w:r w:rsidR="007B48A5">
        <w:t xml:space="preserve">caregiver </w:t>
      </w:r>
      <w:r w:rsidRPr="00137E54">
        <w:t>pain ratings during</w:t>
      </w:r>
      <w:r w:rsidR="00E9715F">
        <w:t xml:space="preserve"> child</w:t>
      </w:r>
      <w:r w:rsidRPr="00137E54">
        <w:t xml:space="preserve"> </w:t>
      </w:r>
      <w:r w:rsidR="00683E09">
        <w:t>immunizations</w:t>
      </w:r>
      <w:r>
        <w:t xml:space="preserve"> over the second year of life.</w:t>
      </w:r>
      <w:r w:rsidR="008A7285">
        <w:t xml:space="preserve"> </w:t>
      </w:r>
      <w:r w:rsidR="006656CF">
        <w:t>Given the steep developmental trajectory in early childhood, this paper importantly examines predictors of pain ratings in a</w:t>
      </w:r>
      <w:r w:rsidR="002F32FB">
        <w:t>n understudied</w:t>
      </w:r>
      <w:r w:rsidR="006656CF">
        <w:t xml:space="preserve"> developmental period (</w:t>
      </w:r>
      <w:r w:rsidR="002F32FB">
        <w:t>toddlerhood)</w:t>
      </w:r>
      <w:r w:rsidR="006656CF">
        <w:t>. Further, t</w:t>
      </w:r>
      <w:r w:rsidR="00B33E88">
        <w:t xml:space="preserve">his </w:t>
      </w:r>
      <w:r w:rsidR="006656CF">
        <w:t>research</w:t>
      </w:r>
      <w:r w:rsidR="00B33E88">
        <w:t xml:space="preserve"> builds on previous studies that outline the significance of infant pain-related distress behaviour on pain ratings (</w:t>
      </w:r>
      <w:r w:rsidR="0001666B">
        <w:t>Pillai Riddell et al., 2014)</w:t>
      </w:r>
      <w:r w:rsidR="00B33E88">
        <w:t xml:space="preserve"> while also </w:t>
      </w:r>
      <w:r w:rsidR="00D805D6">
        <w:t>expanding</w:t>
      </w:r>
      <w:r w:rsidR="00B33E88">
        <w:t xml:space="preserve"> on influential caregiver</w:t>
      </w:r>
      <w:r w:rsidR="00D805D6">
        <w:t xml:space="preserve"> factors</w:t>
      </w:r>
      <w:r w:rsidR="00B33E88">
        <w:t xml:space="preserve"> previously shown to </w:t>
      </w:r>
      <w:r w:rsidR="00D805D6">
        <w:t>affect</w:t>
      </w:r>
      <w:r w:rsidR="00B33E88">
        <w:t xml:space="preserve"> pain ratings in preschool children (</w:t>
      </w:r>
      <w:proofErr w:type="spellStart"/>
      <w:r w:rsidR="0001666B">
        <w:t>Mamedova</w:t>
      </w:r>
      <w:proofErr w:type="spellEnd"/>
      <w:r w:rsidR="0001666B">
        <w:t xml:space="preserve"> et al., 2019</w:t>
      </w:r>
      <w:r w:rsidR="00B33E88">
        <w:t xml:space="preserve">). </w:t>
      </w:r>
    </w:p>
    <w:p w14:paraId="08C96F59" w14:textId="237A7B16" w:rsidR="00A92EE3" w:rsidRDefault="00A84A0E" w:rsidP="00A84A0E">
      <w:pPr>
        <w:spacing w:line="480" w:lineRule="auto"/>
        <w:ind w:firstLine="720"/>
      </w:pPr>
      <w:r>
        <w:lastRenderedPageBreak/>
        <w:t>Given that previous research shows that parent ratings of their child’s pain do not highly correlate with children’s pain scores (Kelly et al., 2002) and that parents tend to underestimate their child’s pain (</w:t>
      </w:r>
      <w:proofErr w:type="spellStart"/>
      <w:r>
        <w:t>Kamper</w:t>
      </w:r>
      <w:proofErr w:type="spellEnd"/>
      <w:r>
        <w:t xml:space="preserve"> et al., 2016; </w:t>
      </w:r>
      <w:r w:rsidRPr="00006E5E">
        <w:t>St-Laurent-Gagnon</w:t>
      </w:r>
      <w:r>
        <w:t xml:space="preserve"> et al., 1999), it is essential to outline the factors that influence caregiver pain ratings to ensure appropriate pain management techniques are utilized. </w:t>
      </w:r>
      <w:r w:rsidR="006E5A34">
        <w:t>The current study found that t</w:t>
      </w:r>
      <w:r w:rsidR="00A92EE3">
        <w:t xml:space="preserve">he final model accounted for 20.8% of the variance in pain ratings. </w:t>
      </w:r>
      <w:r w:rsidR="002F32FB">
        <w:t>The</w:t>
      </w:r>
      <w:r w:rsidR="00A92EE3">
        <w:t xml:space="preserve"> only predictors that remained significant were caregiver worry prior to and following the needle. In other words, when </w:t>
      </w:r>
      <w:r w:rsidR="002F32FB">
        <w:t>actual</w:t>
      </w:r>
      <w:r w:rsidR="00A92EE3">
        <w:t xml:space="preserve"> child pain-related distress behaviour </w:t>
      </w:r>
      <w:r w:rsidR="002F32FB">
        <w:t>(both fine-grained facial action units and more gross body movements) were put in the model</w:t>
      </w:r>
      <w:r w:rsidR="00A92EE3">
        <w:t xml:space="preserve">, caregiver worry variables </w:t>
      </w:r>
      <w:r w:rsidR="00A43325">
        <w:t>accounted for unique variance in pain ratings, while child behaviours dropped out of the model as non-significant predictors</w:t>
      </w:r>
      <w:r w:rsidR="00A92EE3">
        <w:t xml:space="preserve">. As mentioned earlier, </w:t>
      </w:r>
      <w:r w:rsidR="00A92EE3" w:rsidRPr="00137E54">
        <w:t xml:space="preserve">the dyadic feedback </w:t>
      </w:r>
      <w:r w:rsidR="00A92EE3">
        <w:t>loop</w:t>
      </w:r>
      <w:r w:rsidR="00A92EE3" w:rsidRPr="00137E54">
        <w:t xml:space="preserve"> through which caregivers influence child pain responding</w:t>
      </w:r>
      <w:r w:rsidR="00A92EE3">
        <w:t xml:space="preserve"> is emphasized by the </w:t>
      </w:r>
      <w:r w:rsidR="00A92EE3" w:rsidRPr="00137E54">
        <w:t>Development of Infant Acute Pain Responding- Revised Model</w:t>
      </w:r>
      <w:r w:rsidR="00A92EE3">
        <w:t xml:space="preserve"> (DIAPR-R; Pillai Riddell et al., 2022). As such, the findings of this study lend support to the </w:t>
      </w:r>
      <w:r w:rsidR="00A92EE3" w:rsidRPr="00137E54">
        <w:t>DIAPR-R</w:t>
      </w:r>
      <w:r w:rsidR="00A92EE3">
        <w:t xml:space="preserve"> 2022 model, which outlines how caregivers’ own </w:t>
      </w:r>
      <w:r w:rsidR="00A43325">
        <w:t xml:space="preserve">internal factors </w:t>
      </w:r>
      <w:r w:rsidR="00A92EE3">
        <w:t>significantly influences their interpretation of the pain</w:t>
      </w:r>
      <w:r w:rsidR="00A43325">
        <w:t>, beyond the child’s actual pain behaviour</w:t>
      </w:r>
      <w:r w:rsidR="00A92EE3">
        <w:t xml:space="preserve">. This study adds further credence to a significant concern in pediatric medicine that children’s pain care is predicated on proxy ratings that have been shown in numerous studies to under- or overestimate child reports, or not be significantly related to the child’s pain-related distress behaviour.  It is </w:t>
      </w:r>
      <w:r w:rsidR="00A43325">
        <w:t xml:space="preserve">particularly </w:t>
      </w:r>
      <w:r w:rsidR="00A92EE3">
        <w:t xml:space="preserve">important </w:t>
      </w:r>
      <w:r w:rsidR="00A43325">
        <w:t xml:space="preserve">for young children who are not yet capable of self-report. </w:t>
      </w:r>
      <w:r w:rsidR="00A92EE3">
        <w:t xml:space="preserve"> </w:t>
      </w:r>
    </w:p>
    <w:p w14:paraId="4FDC1AE7" w14:textId="58495A86" w:rsidR="0035458D" w:rsidRDefault="00F43871" w:rsidP="00A84A0E">
      <w:pPr>
        <w:spacing w:line="480" w:lineRule="auto"/>
        <w:ind w:firstLine="720"/>
        <w:rPr>
          <w:color w:val="000000" w:themeColor="text1"/>
        </w:rPr>
      </w:pPr>
      <w:r>
        <w:t xml:space="preserve">This research underscores the importance of </w:t>
      </w:r>
      <w:r w:rsidR="00002426">
        <w:t xml:space="preserve">paying attention to the caregiver context and managing </w:t>
      </w:r>
      <w:r w:rsidR="007B1900">
        <w:t>caregivers’ anxieties</w:t>
      </w:r>
      <w:r w:rsidR="005F45B7">
        <w:t xml:space="preserve"> and </w:t>
      </w:r>
      <w:r w:rsidR="004E55D6">
        <w:t>worries</w:t>
      </w:r>
      <w:r w:rsidR="006F06BA">
        <w:t xml:space="preserve"> during painful medical procedures. Even beyond influencing pain judgements and pain care, s</w:t>
      </w:r>
      <w:r w:rsidR="006F09B7">
        <w:t>tudies show that parental anxiety significantly predicts child pain and anxiety during medical events (</w:t>
      </w:r>
      <w:r w:rsidR="003C37AD">
        <w:rPr>
          <w:color w:val="000000" w:themeColor="text1"/>
        </w:rPr>
        <w:t xml:space="preserve">Anthony et al., 2011; </w:t>
      </w:r>
      <w:r w:rsidR="006F09B7" w:rsidRPr="006F09B7">
        <w:rPr>
          <w:color w:val="000000" w:themeColor="text1"/>
        </w:rPr>
        <w:t>Jacobsen</w:t>
      </w:r>
      <w:r w:rsidR="006F09B7">
        <w:rPr>
          <w:color w:val="000000" w:themeColor="text1"/>
        </w:rPr>
        <w:t xml:space="preserve"> et al., </w:t>
      </w:r>
      <w:r w:rsidR="006F09B7">
        <w:rPr>
          <w:color w:val="000000" w:themeColor="text1"/>
        </w:rPr>
        <w:lastRenderedPageBreak/>
        <w:t>1990)</w:t>
      </w:r>
      <w:r w:rsidR="00462E71">
        <w:rPr>
          <w:color w:val="000000" w:themeColor="text1"/>
        </w:rPr>
        <w:t>, with one study specifically reporting that parent anxiety prior to pediatric immunizations significantly correlated with measures of infant distress during the immunization (</w:t>
      </w:r>
      <w:r w:rsidR="00462E71" w:rsidRPr="00BC3943">
        <w:rPr>
          <w:lang w:val="en-US"/>
        </w:rPr>
        <w:t>Bernard</w:t>
      </w:r>
      <w:r w:rsidR="00462E71">
        <w:rPr>
          <w:lang w:val="en-US"/>
        </w:rPr>
        <w:t xml:space="preserve"> &amp; </w:t>
      </w:r>
      <w:r w:rsidR="00462E71" w:rsidRPr="00BC3943">
        <w:rPr>
          <w:lang w:val="en-US"/>
        </w:rPr>
        <w:t>Cohen</w:t>
      </w:r>
      <w:r w:rsidR="00462E71">
        <w:rPr>
          <w:lang w:val="en-US"/>
        </w:rPr>
        <w:t>, 2006)</w:t>
      </w:r>
      <w:r w:rsidR="006F09B7">
        <w:rPr>
          <w:color w:val="000000" w:themeColor="text1"/>
        </w:rPr>
        <w:t xml:space="preserve">. </w:t>
      </w:r>
      <w:r w:rsidR="00462E71">
        <w:rPr>
          <w:color w:val="000000" w:themeColor="text1"/>
        </w:rPr>
        <w:t>Another</w:t>
      </w:r>
      <w:r w:rsidR="00C72906">
        <w:rPr>
          <w:color w:val="000000" w:themeColor="text1"/>
        </w:rPr>
        <w:t xml:space="preserve"> study found that the relationship between parent preprocedural anxiety and child pain was mediated by children’s procedural anxiety</w:t>
      </w:r>
      <w:r w:rsidR="00750504">
        <w:rPr>
          <w:color w:val="000000" w:themeColor="text1"/>
        </w:rPr>
        <w:t>,</w:t>
      </w:r>
      <w:r w:rsidR="00C72906">
        <w:rPr>
          <w:color w:val="000000" w:themeColor="text1"/>
        </w:rPr>
        <w:t xml:space="preserve"> such that the preprocedural anxiety of the parent inadvertently influenced procedural anxiety within the child which, in turn, increased the child’s pain (Bearden et al., 2012).  </w:t>
      </w:r>
      <w:r w:rsidR="00593ADA">
        <w:rPr>
          <w:color w:val="000000" w:themeColor="text1"/>
        </w:rPr>
        <w:t>The current study’s measure of worry asked about the caregivers' worry in relation to the needle</w:t>
      </w:r>
      <w:r w:rsidR="0039247E">
        <w:rPr>
          <w:color w:val="000000" w:themeColor="text1"/>
        </w:rPr>
        <w:t>,</w:t>
      </w:r>
      <w:r w:rsidR="00593ADA">
        <w:rPr>
          <w:color w:val="000000" w:themeColor="text1"/>
        </w:rPr>
        <w:t xml:space="preserve"> which may encompass several concerns surrounding the immunization. For example, parents may be worried about the child’s reaction to the needle, both emotionally and physically (i.e., side effects). They may also harbour negative beliefs about vaccines or concerns surrounding the administration of the needle. Thus, all these worries surrounding their child’s vaccination may accumulate and ultimately impact their responses before, during</w:t>
      </w:r>
      <w:r w:rsidR="0039247E">
        <w:rPr>
          <w:color w:val="000000" w:themeColor="text1"/>
        </w:rPr>
        <w:t>,</w:t>
      </w:r>
      <w:r w:rsidR="00593ADA">
        <w:rPr>
          <w:color w:val="000000" w:themeColor="text1"/>
        </w:rPr>
        <w:t xml:space="preserve"> and after the immunization.</w:t>
      </w:r>
      <w:r w:rsidR="00A84A0E">
        <w:rPr>
          <w:color w:val="000000" w:themeColor="text1"/>
        </w:rPr>
        <w:t xml:space="preserve"> </w:t>
      </w:r>
      <w:r w:rsidR="00C5423C">
        <w:rPr>
          <w:color w:val="000000" w:themeColor="text1"/>
        </w:rPr>
        <w:t>Therefore, it is essential that</w:t>
      </w:r>
      <w:r w:rsidR="00077EFC">
        <w:rPr>
          <w:color w:val="000000" w:themeColor="text1"/>
        </w:rPr>
        <w:t xml:space="preserve"> caregivers</w:t>
      </w:r>
      <w:r w:rsidR="00C5423C">
        <w:rPr>
          <w:color w:val="000000" w:themeColor="text1"/>
        </w:rPr>
        <w:t xml:space="preserve"> are able to manage their own stress in order to prevent adding any additional stress to the child</w:t>
      </w:r>
      <w:r w:rsidR="00C72906">
        <w:rPr>
          <w:color w:val="000000" w:themeColor="text1"/>
        </w:rPr>
        <w:t xml:space="preserve">. </w:t>
      </w:r>
      <w:r w:rsidR="001561E2">
        <w:rPr>
          <w:color w:val="000000" w:themeColor="text1"/>
        </w:rPr>
        <w:t>It should also be noted that in this sample, levels of worry and pain ratings were generally low during these visits. This may be due to the toddlers</w:t>
      </w:r>
      <w:r w:rsidR="0022799C">
        <w:rPr>
          <w:color w:val="000000" w:themeColor="text1"/>
        </w:rPr>
        <w:t>’</w:t>
      </w:r>
      <w:r w:rsidR="001561E2">
        <w:rPr>
          <w:color w:val="000000" w:themeColor="text1"/>
        </w:rPr>
        <w:t xml:space="preserve"> age, as </w:t>
      </w:r>
      <w:r w:rsidR="0022799C">
        <w:rPr>
          <w:color w:val="000000" w:themeColor="text1"/>
        </w:rPr>
        <w:t>both children and caregivers</w:t>
      </w:r>
      <w:r w:rsidR="001561E2">
        <w:rPr>
          <w:color w:val="000000" w:themeColor="text1"/>
        </w:rPr>
        <w:t xml:space="preserve"> would have had previous experiences with immunizations during infancy. Consequently, this research should be reproduced in more stressful environments </w:t>
      </w:r>
      <w:r w:rsidR="00502553">
        <w:rPr>
          <w:color w:val="000000" w:themeColor="text1"/>
        </w:rPr>
        <w:t>such as hospital settings</w:t>
      </w:r>
      <w:r w:rsidR="001561E2">
        <w:rPr>
          <w:color w:val="000000" w:themeColor="text1"/>
        </w:rPr>
        <w:t xml:space="preserve">. </w:t>
      </w:r>
    </w:p>
    <w:p w14:paraId="1E52DF1C" w14:textId="6D1E105F" w:rsidR="00546A22" w:rsidRDefault="00C82D99" w:rsidP="00700671">
      <w:pPr>
        <w:spacing w:line="480" w:lineRule="auto"/>
        <w:ind w:firstLine="720"/>
        <w:rPr>
          <w:color w:val="000000" w:themeColor="text1"/>
        </w:rPr>
      </w:pPr>
      <w:r>
        <w:rPr>
          <w:color w:val="000000" w:themeColor="text1"/>
        </w:rPr>
        <w:t xml:space="preserve">Although </w:t>
      </w:r>
      <w:r w:rsidR="00BB1B3F">
        <w:rPr>
          <w:color w:val="000000" w:themeColor="text1"/>
        </w:rPr>
        <w:t xml:space="preserve">our </w:t>
      </w:r>
      <w:r w:rsidR="006F06BA">
        <w:rPr>
          <w:color w:val="000000" w:themeColor="text1"/>
        </w:rPr>
        <w:t xml:space="preserve">final model </w:t>
      </w:r>
      <w:r>
        <w:rPr>
          <w:color w:val="000000" w:themeColor="text1"/>
        </w:rPr>
        <w:t xml:space="preserve">did not find </w:t>
      </w:r>
      <w:r w:rsidR="00BB1B3F">
        <w:rPr>
          <w:color w:val="000000" w:themeColor="text1"/>
        </w:rPr>
        <w:t xml:space="preserve">a </w:t>
      </w:r>
      <w:r>
        <w:rPr>
          <w:color w:val="000000" w:themeColor="text1"/>
        </w:rPr>
        <w:t xml:space="preserve">significant </w:t>
      </w:r>
      <w:r w:rsidR="00BB1B3F">
        <w:rPr>
          <w:color w:val="000000" w:themeColor="text1"/>
        </w:rPr>
        <w:t>relationship between</w:t>
      </w:r>
      <w:r>
        <w:rPr>
          <w:color w:val="000000" w:themeColor="text1"/>
        </w:rPr>
        <w:t xml:space="preserve"> </w:t>
      </w:r>
      <w:r w:rsidR="006F06BA">
        <w:rPr>
          <w:color w:val="000000" w:themeColor="text1"/>
        </w:rPr>
        <w:t>broader emotional functioning (</w:t>
      </w:r>
      <w:r w:rsidR="00C136C0">
        <w:rPr>
          <w:color w:val="000000" w:themeColor="text1"/>
        </w:rPr>
        <w:t>i.e.,</w:t>
      </w:r>
      <w:r w:rsidR="006F06BA">
        <w:rPr>
          <w:color w:val="000000" w:themeColor="text1"/>
        </w:rPr>
        <w:t xml:space="preserve"> outside the immediate immunization appointment)</w:t>
      </w:r>
      <w:r>
        <w:rPr>
          <w:color w:val="000000" w:themeColor="text1"/>
        </w:rPr>
        <w:t xml:space="preserve"> </w:t>
      </w:r>
      <w:r w:rsidR="00BB1B3F">
        <w:rPr>
          <w:color w:val="000000" w:themeColor="text1"/>
        </w:rPr>
        <w:t>and</w:t>
      </w:r>
      <w:r>
        <w:rPr>
          <w:color w:val="000000" w:themeColor="text1"/>
        </w:rPr>
        <w:t xml:space="preserve"> </w:t>
      </w:r>
      <w:r w:rsidR="00BB1B3F">
        <w:rPr>
          <w:color w:val="000000" w:themeColor="text1"/>
        </w:rPr>
        <w:t>caregiver</w:t>
      </w:r>
      <w:r>
        <w:rPr>
          <w:color w:val="000000" w:themeColor="text1"/>
        </w:rPr>
        <w:t xml:space="preserve"> pain ratings,</w:t>
      </w:r>
      <w:r w:rsidR="006F06BA">
        <w:rPr>
          <w:color w:val="000000" w:themeColor="text1"/>
        </w:rPr>
        <w:t xml:space="preserve"> in the steps leading up to the final model, </w:t>
      </w:r>
      <w:r w:rsidR="006F06BA">
        <w:t>an interesting</w:t>
      </w:r>
      <w:r w:rsidR="003277DB">
        <w:t xml:space="preserve"> </w:t>
      </w:r>
      <w:r w:rsidR="00194D52">
        <w:t xml:space="preserve">exploratory </w:t>
      </w:r>
      <w:r w:rsidR="006F06BA">
        <w:t>bivariate relationship was elucidated. The relationship with the mainstream acculturation variable was seen in the predicted direction (</w:t>
      </w:r>
      <w:r w:rsidR="003C414F">
        <w:t>i.e.,</w:t>
      </w:r>
      <w:r w:rsidR="006F06BA">
        <w:t xml:space="preserve"> the more an individual reported they identified with mainstream culture, the lower the pain scores). </w:t>
      </w:r>
      <w:r w:rsidR="00546A22">
        <w:rPr>
          <w:color w:val="000000" w:themeColor="text1"/>
        </w:rPr>
        <w:t xml:space="preserve">It is well-known in the literature that different </w:t>
      </w:r>
      <w:r w:rsidR="00546A22">
        <w:rPr>
          <w:color w:val="000000" w:themeColor="text1"/>
        </w:rPr>
        <w:lastRenderedPageBreak/>
        <w:t>ethnic or cultural groups employ different parenting styles (</w:t>
      </w:r>
      <w:proofErr w:type="spellStart"/>
      <w:r w:rsidR="00546A22">
        <w:rPr>
          <w:color w:val="000000" w:themeColor="text1"/>
        </w:rPr>
        <w:t>Kotchick</w:t>
      </w:r>
      <w:proofErr w:type="spellEnd"/>
      <w:r w:rsidR="00546A22">
        <w:rPr>
          <w:color w:val="000000" w:themeColor="text1"/>
        </w:rPr>
        <w:t xml:space="preserve"> &amp; Forehand, 2002) and thus may enact different behavioural responses to child pain. For example, one study found that caregivers who self-identified highly with individualist heritage cultures tended to show greater emotional availability, which in turn predicted lower pain scores for infants (</w:t>
      </w:r>
      <w:r w:rsidR="00546A22" w:rsidRPr="00196C52">
        <w:t>O'Neill</w:t>
      </w:r>
      <w:r w:rsidR="00546A22">
        <w:t xml:space="preserve"> et al., 2016</w:t>
      </w:r>
      <w:r w:rsidR="00546A22">
        <w:rPr>
          <w:color w:val="000000" w:themeColor="text1"/>
        </w:rPr>
        <w:t xml:space="preserve">). </w:t>
      </w:r>
      <w:r w:rsidR="006C479F">
        <w:rPr>
          <w:color w:val="000000" w:themeColor="text1"/>
        </w:rPr>
        <w:t xml:space="preserve">Considering this effect on parental behaviour, cultural identification or </w:t>
      </w:r>
      <w:r w:rsidR="007B40D2">
        <w:rPr>
          <w:color w:val="000000" w:themeColor="text1"/>
        </w:rPr>
        <w:t xml:space="preserve">level of </w:t>
      </w:r>
      <w:r w:rsidR="006C479F">
        <w:rPr>
          <w:color w:val="000000" w:themeColor="text1"/>
        </w:rPr>
        <w:t xml:space="preserve">acculturation may also impact caregiver pain ratings. For example, in this sample, higher identification with mainstream culture may indicate less stress associated with acculturation allowing for an effective behavioural response to the child and in turn, a lower pain rating. </w:t>
      </w:r>
      <w:r w:rsidR="00CD412C">
        <w:rPr>
          <w:color w:val="000000" w:themeColor="text1"/>
        </w:rPr>
        <w:t>Ultimately, a</w:t>
      </w:r>
      <w:r w:rsidR="006C479F">
        <w:rPr>
          <w:color w:val="000000" w:themeColor="text1"/>
        </w:rPr>
        <w:t xml:space="preserve"> reduction in stress in any </w:t>
      </w:r>
      <w:r w:rsidR="00D27D8C">
        <w:rPr>
          <w:color w:val="000000" w:themeColor="text1"/>
        </w:rPr>
        <w:t>manner</w:t>
      </w:r>
      <w:r w:rsidR="006C479F">
        <w:rPr>
          <w:color w:val="000000" w:themeColor="text1"/>
        </w:rPr>
        <w:t>, related to acculturation or any other factor</w:t>
      </w:r>
      <w:r w:rsidR="00D27D8C">
        <w:rPr>
          <w:color w:val="000000" w:themeColor="text1"/>
        </w:rPr>
        <w:t xml:space="preserve"> that may increase parent stress during a distressing child event such as vaccination</w:t>
      </w:r>
      <w:r w:rsidR="006C479F">
        <w:rPr>
          <w:color w:val="000000" w:themeColor="text1"/>
        </w:rPr>
        <w:t xml:space="preserve">, </w:t>
      </w:r>
      <w:r w:rsidR="00CD412C">
        <w:rPr>
          <w:color w:val="000000" w:themeColor="text1"/>
        </w:rPr>
        <w:t xml:space="preserve">may allow caregivers to respond </w:t>
      </w:r>
      <w:r w:rsidR="00D27D8C">
        <w:rPr>
          <w:color w:val="000000" w:themeColor="text1"/>
        </w:rPr>
        <w:t xml:space="preserve">more </w:t>
      </w:r>
      <w:r w:rsidR="00CD412C">
        <w:rPr>
          <w:color w:val="000000" w:themeColor="text1"/>
        </w:rPr>
        <w:t>appropriately to their child’s pain</w:t>
      </w:r>
      <w:r w:rsidR="00D27D8C">
        <w:rPr>
          <w:color w:val="000000" w:themeColor="text1"/>
        </w:rPr>
        <w:t xml:space="preserve">.  </w:t>
      </w:r>
    </w:p>
    <w:p w14:paraId="0622BB03" w14:textId="356709CB" w:rsidR="003277DB" w:rsidRPr="00EA3C1F" w:rsidRDefault="000112AF" w:rsidP="003277DB">
      <w:pPr>
        <w:spacing w:line="480" w:lineRule="auto"/>
        <w:ind w:firstLine="720"/>
        <w:rPr>
          <w:rFonts w:ascii="Verdana" w:eastAsiaTheme="majorEastAsia" w:hAnsi="Verdana"/>
          <w:color w:val="FF0000"/>
          <w:sz w:val="17"/>
          <w:szCs w:val="17"/>
          <w:shd w:val="clear" w:color="auto" w:fill="FFFFFF"/>
        </w:rPr>
      </w:pPr>
      <w:r>
        <w:rPr>
          <w:color w:val="000000" w:themeColor="text1"/>
        </w:rPr>
        <w:t>From the DIAPR-R</w:t>
      </w:r>
      <w:r w:rsidR="006F06BA">
        <w:rPr>
          <w:color w:val="000000" w:themeColor="text1"/>
        </w:rPr>
        <w:t xml:space="preserve"> 2022</w:t>
      </w:r>
      <w:r>
        <w:rPr>
          <w:color w:val="000000" w:themeColor="text1"/>
        </w:rPr>
        <w:t xml:space="preserve"> model </w:t>
      </w:r>
      <w:r w:rsidR="00933377">
        <w:rPr>
          <w:color w:val="000000" w:themeColor="text1"/>
        </w:rPr>
        <w:t>perspective</w:t>
      </w:r>
      <w:r>
        <w:rPr>
          <w:color w:val="000000" w:themeColor="text1"/>
        </w:rPr>
        <w:t xml:space="preserve">, the dyadic feedback loops between parent responses to child pain strongly emphasize the interconnections between the parent and the child in the context of child pain. </w:t>
      </w:r>
      <w:r w:rsidR="002967E7">
        <w:rPr>
          <w:color w:val="000000" w:themeColor="text1"/>
        </w:rPr>
        <w:t>Therefore, since parent</w:t>
      </w:r>
      <w:r w:rsidR="00A14E9F">
        <w:rPr>
          <w:color w:val="000000" w:themeColor="text1"/>
        </w:rPr>
        <w:t xml:space="preserve"> mental</w:t>
      </w:r>
      <w:r w:rsidR="00FB4A38">
        <w:rPr>
          <w:color w:val="000000" w:themeColor="text1"/>
        </w:rPr>
        <w:t xml:space="preserve"> health</w:t>
      </w:r>
      <w:r w:rsidR="00A14E9F">
        <w:rPr>
          <w:color w:val="000000" w:themeColor="text1"/>
        </w:rPr>
        <w:t xml:space="preserve"> </w:t>
      </w:r>
      <w:r w:rsidR="002967E7">
        <w:rPr>
          <w:color w:val="000000" w:themeColor="text1"/>
        </w:rPr>
        <w:t>has been found to influence parent responsiveness to child pain (</w:t>
      </w:r>
      <w:r w:rsidR="00A14E9F">
        <w:rPr>
          <w:color w:val="000000" w:themeColor="text1"/>
        </w:rPr>
        <w:t xml:space="preserve">i.e., parents with depressive symptoms engage in more protective and catastrophizing responses to child pain; </w:t>
      </w:r>
      <w:proofErr w:type="spellStart"/>
      <w:r w:rsidR="00A14E9F">
        <w:rPr>
          <w:color w:val="000000" w:themeColor="text1"/>
        </w:rPr>
        <w:t>Fussner</w:t>
      </w:r>
      <w:proofErr w:type="spellEnd"/>
      <w:r w:rsidR="00A14E9F">
        <w:rPr>
          <w:color w:val="000000" w:themeColor="text1"/>
        </w:rPr>
        <w:t xml:space="preserve"> et al., 2018</w:t>
      </w:r>
      <w:r w:rsidR="002967E7">
        <w:rPr>
          <w:color w:val="000000" w:themeColor="text1"/>
        </w:rPr>
        <w:t>), it seems reasonable to suggest that their ability to appropriately recognize the level of their child’s pain would also be impacted</w:t>
      </w:r>
      <w:r w:rsidR="006F06BA">
        <w:rPr>
          <w:color w:val="000000" w:themeColor="text1"/>
        </w:rPr>
        <w:t xml:space="preserve"> by emotional functioning</w:t>
      </w:r>
      <w:r w:rsidR="002967E7">
        <w:rPr>
          <w:color w:val="000000" w:themeColor="text1"/>
        </w:rPr>
        <w:t xml:space="preserve">. Future research should continue to explore the impact of stress and other mental health factors that may impact caregivers’ ability to interpret and </w:t>
      </w:r>
      <w:r w:rsidR="00546A22">
        <w:rPr>
          <w:color w:val="000000" w:themeColor="text1"/>
        </w:rPr>
        <w:t xml:space="preserve">respond to their </w:t>
      </w:r>
      <w:r w:rsidR="002967E7">
        <w:rPr>
          <w:color w:val="000000" w:themeColor="text1"/>
        </w:rPr>
        <w:t>child</w:t>
      </w:r>
      <w:r w:rsidR="00546A22">
        <w:rPr>
          <w:color w:val="000000" w:themeColor="text1"/>
        </w:rPr>
        <w:t>ren’s</w:t>
      </w:r>
      <w:r w:rsidR="002967E7">
        <w:rPr>
          <w:color w:val="000000" w:themeColor="text1"/>
        </w:rPr>
        <w:t xml:space="preserve"> pain.</w:t>
      </w:r>
      <w:r w:rsidR="00434B27">
        <w:rPr>
          <w:color w:val="000000" w:themeColor="text1"/>
        </w:rPr>
        <w:t xml:space="preserve"> </w:t>
      </w:r>
      <w:r w:rsidR="001F086E">
        <w:rPr>
          <w:color w:val="000000" w:themeColor="text1"/>
        </w:rPr>
        <w:t>A</w:t>
      </w:r>
      <w:r w:rsidR="00434B27" w:rsidRPr="00434B27">
        <w:rPr>
          <w:color w:val="000000" w:themeColor="text1"/>
        </w:rPr>
        <w:t>nother area for future research</w:t>
      </w:r>
      <w:r w:rsidR="00434B27" w:rsidRPr="0067297A">
        <w:rPr>
          <w:color w:val="000000" w:themeColor="text1"/>
        </w:rPr>
        <w:t xml:space="preserve"> </w:t>
      </w:r>
      <w:r w:rsidR="00434B27" w:rsidRPr="0067297A">
        <w:rPr>
          <w:rStyle w:val="apple-converted-space"/>
          <w:rFonts w:eastAsiaTheme="majorEastAsia"/>
          <w:color w:val="000000" w:themeColor="text1"/>
          <w:shd w:val="clear" w:color="auto" w:fill="FFFFFF"/>
        </w:rPr>
        <w:t>is the potential role that parental locus of control over their child’s pain may play in their worry about their child’s pain, their pain ratings</w:t>
      </w:r>
      <w:r w:rsidR="0078540A">
        <w:rPr>
          <w:rStyle w:val="apple-converted-space"/>
          <w:rFonts w:eastAsiaTheme="majorEastAsia"/>
          <w:color w:val="000000" w:themeColor="text1"/>
          <w:shd w:val="clear" w:color="auto" w:fill="FFFFFF"/>
        </w:rPr>
        <w:t>,</w:t>
      </w:r>
      <w:r w:rsidR="00434B27" w:rsidRPr="0067297A">
        <w:rPr>
          <w:rStyle w:val="apple-converted-space"/>
          <w:rFonts w:eastAsiaTheme="majorEastAsia"/>
          <w:color w:val="000000" w:themeColor="text1"/>
          <w:shd w:val="clear" w:color="auto" w:fill="FFFFFF"/>
        </w:rPr>
        <w:t xml:space="preserve"> and the </w:t>
      </w:r>
      <w:r w:rsidR="005B0C3C">
        <w:rPr>
          <w:rStyle w:val="apple-converted-space"/>
          <w:rFonts w:eastAsiaTheme="majorEastAsia"/>
          <w:color w:val="000000" w:themeColor="text1"/>
          <w:shd w:val="clear" w:color="auto" w:fill="FFFFFF"/>
        </w:rPr>
        <w:t>pain-soothing</w:t>
      </w:r>
      <w:r w:rsidR="00434B27" w:rsidRPr="0067297A">
        <w:rPr>
          <w:rStyle w:val="apple-converted-space"/>
          <w:rFonts w:eastAsiaTheme="majorEastAsia"/>
          <w:color w:val="000000" w:themeColor="text1"/>
          <w:shd w:val="clear" w:color="auto" w:fill="FFFFFF"/>
        </w:rPr>
        <w:t xml:space="preserve"> behaviours they enact.</w:t>
      </w:r>
      <w:r w:rsidR="00BC5EDC">
        <w:rPr>
          <w:rStyle w:val="apple-converted-space"/>
          <w:rFonts w:eastAsiaTheme="majorEastAsia"/>
          <w:color w:val="000000" w:themeColor="text1"/>
          <w:shd w:val="clear" w:color="auto" w:fill="FFFFFF"/>
        </w:rPr>
        <w:t xml:space="preserve"> Additionally, </w:t>
      </w:r>
      <w:r w:rsidR="00BC5EDC">
        <w:rPr>
          <w:rFonts w:eastAsiaTheme="majorEastAsia"/>
          <w:color w:val="000000" w:themeColor="text1"/>
          <w:shd w:val="clear" w:color="auto" w:fill="FFFFFF"/>
        </w:rPr>
        <w:t>m</w:t>
      </w:r>
      <w:r w:rsidR="00BC5EDC" w:rsidRPr="00BC5EDC">
        <w:rPr>
          <w:rFonts w:eastAsiaTheme="majorEastAsia"/>
          <w:color w:val="000000" w:themeColor="text1"/>
          <w:shd w:val="clear" w:color="auto" w:fill="FFFFFF"/>
        </w:rPr>
        <w:t xml:space="preserve">ore research is needed to specifically analyze the effect of caregiver pain schemas on </w:t>
      </w:r>
      <w:r w:rsidR="0078540A">
        <w:rPr>
          <w:rFonts w:eastAsiaTheme="majorEastAsia"/>
          <w:color w:val="000000" w:themeColor="text1"/>
          <w:shd w:val="clear" w:color="auto" w:fill="FFFFFF"/>
        </w:rPr>
        <w:t xml:space="preserve">the </w:t>
      </w:r>
      <w:r w:rsidR="00BC5EDC" w:rsidRPr="00BC5EDC">
        <w:rPr>
          <w:rFonts w:eastAsiaTheme="majorEastAsia"/>
          <w:color w:val="000000" w:themeColor="text1"/>
          <w:shd w:val="clear" w:color="auto" w:fill="FFFFFF"/>
        </w:rPr>
        <w:t xml:space="preserve">particular pain </w:t>
      </w:r>
      <w:r w:rsidR="00BC5EDC">
        <w:rPr>
          <w:rFonts w:eastAsiaTheme="majorEastAsia"/>
          <w:color w:val="000000" w:themeColor="text1"/>
          <w:shd w:val="clear" w:color="auto" w:fill="FFFFFF"/>
        </w:rPr>
        <w:t>management</w:t>
      </w:r>
      <w:r w:rsidR="00BC5EDC" w:rsidRPr="00BC5EDC">
        <w:rPr>
          <w:rFonts w:eastAsiaTheme="majorEastAsia"/>
          <w:color w:val="000000" w:themeColor="text1"/>
          <w:shd w:val="clear" w:color="auto" w:fill="FFFFFF"/>
        </w:rPr>
        <w:t xml:space="preserve"> </w:t>
      </w:r>
      <w:r w:rsidR="00BC5EDC" w:rsidRPr="00BC5EDC">
        <w:rPr>
          <w:rFonts w:eastAsiaTheme="majorEastAsia"/>
          <w:color w:val="000000" w:themeColor="text1"/>
          <w:shd w:val="clear" w:color="auto" w:fill="FFFFFF"/>
        </w:rPr>
        <w:lastRenderedPageBreak/>
        <w:t xml:space="preserve">strategies </w:t>
      </w:r>
      <w:r w:rsidR="0078540A">
        <w:rPr>
          <w:rFonts w:eastAsiaTheme="majorEastAsia"/>
          <w:color w:val="000000" w:themeColor="text1"/>
          <w:shd w:val="clear" w:color="auto" w:fill="FFFFFF"/>
        </w:rPr>
        <w:t>that they choose to enact, such as</w:t>
      </w:r>
      <w:r w:rsidR="00BC5EDC">
        <w:rPr>
          <w:rFonts w:eastAsiaTheme="majorEastAsia"/>
          <w:color w:val="000000" w:themeColor="text1"/>
          <w:shd w:val="clear" w:color="auto" w:fill="FFFFFF"/>
        </w:rPr>
        <w:t xml:space="preserve"> topical anesthetics, distraction, </w:t>
      </w:r>
      <w:r w:rsidR="0078540A">
        <w:rPr>
          <w:rFonts w:eastAsiaTheme="majorEastAsia"/>
          <w:color w:val="000000" w:themeColor="text1"/>
          <w:shd w:val="clear" w:color="auto" w:fill="FFFFFF"/>
        </w:rPr>
        <w:t xml:space="preserve">and </w:t>
      </w:r>
      <w:r w:rsidR="00BC5EDC">
        <w:rPr>
          <w:rFonts w:eastAsiaTheme="majorEastAsia"/>
          <w:color w:val="000000" w:themeColor="text1"/>
          <w:shd w:val="clear" w:color="auto" w:fill="FFFFFF"/>
        </w:rPr>
        <w:t xml:space="preserve">comfort </w:t>
      </w:r>
      <w:r w:rsidR="00C6617E">
        <w:rPr>
          <w:rFonts w:eastAsiaTheme="majorEastAsia"/>
          <w:color w:val="000000" w:themeColor="text1"/>
          <w:shd w:val="clear" w:color="auto" w:fill="FFFFFF"/>
        </w:rPr>
        <w:t>(</w:t>
      </w:r>
      <w:r w:rsidR="0026642F">
        <w:rPr>
          <w:rFonts w:eastAsiaTheme="majorEastAsia"/>
          <w:color w:val="000000" w:themeColor="text1"/>
          <w:shd w:val="clear" w:color="auto" w:fill="FFFFFF"/>
        </w:rPr>
        <w:t xml:space="preserve">Chou et al., 2012; </w:t>
      </w:r>
      <w:r w:rsidR="004C4ED8">
        <w:rPr>
          <w:rFonts w:eastAsiaTheme="majorEastAsia"/>
          <w:color w:val="000000" w:themeColor="text1"/>
          <w:shd w:val="clear" w:color="auto" w:fill="FFFFFF"/>
        </w:rPr>
        <w:t xml:space="preserve">Pillai Riddell et al., 2023; </w:t>
      </w:r>
      <w:r w:rsidR="00C6617E">
        <w:rPr>
          <w:rFonts w:eastAsiaTheme="majorEastAsia"/>
          <w:color w:val="000000" w:themeColor="text1"/>
          <w:shd w:val="clear" w:color="auto" w:fill="FFFFFF"/>
        </w:rPr>
        <w:t>Trottier et al., 2019)</w:t>
      </w:r>
      <w:r w:rsidR="00BC5EDC">
        <w:rPr>
          <w:rFonts w:eastAsiaTheme="majorEastAsia"/>
          <w:color w:val="000000" w:themeColor="text1"/>
          <w:shd w:val="clear" w:color="auto" w:fill="FFFFFF"/>
        </w:rPr>
        <w:t xml:space="preserve">. Research shows that these strategies are effective in reducing pain </w:t>
      </w:r>
      <w:r w:rsidR="00A33982">
        <w:rPr>
          <w:rFonts w:eastAsiaTheme="majorEastAsia"/>
          <w:color w:val="000000" w:themeColor="text1"/>
          <w:shd w:val="clear" w:color="auto" w:fill="FFFFFF"/>
        </w:rPr>
        <w:t>in</w:t>
      </w:r>
      <w:r w:rsidR="00BC5EDC">
        <w:rPr>
          <w:rFonts w:eastAsiaTheme="majorEastAsia"/>
          <w:color w:val="000000" w:themeColor="text1"/>
          <w:shd w:val="clear" w:color="auto" w:fill="FFFFFF"/>
        </w:rPr>
        <w:t xml:space="preserve"> children. According to the DIAPR-R </w:t>
      </w:r>
      <w:r w:rsidR="00D27D8C">
        <w:rPr>
          <w:rFonts w:eastAsiaTheme="majorEastAsia"/>
          <w:color w:val="000000" w:themeColor="text1"/>
          <w:shd w:val="clear" w:color="auto" w:fill="FFFFFF"/>
        </w:rPr>
        <w:t xml:space="preserve">2022 </w:t>
      </w:r>
      <w:r w:rsidR="00BC5EDC">
        <w:rPr>
          <w:rFonts w:eastAsiaTheme="majorEastAsia"/>
          <w:color w:val="000000" w:themeColor="text1"/>
          <w:shd w:val="clear" w:color="auto" w:fill="FFFFFF"/>
        </w:rPr>
        <w:t>model, the caregiver’s pain management techniques depend on their assessment of the child’s pain</w:t>
      </w:r>
      <w:r w:rsidR="0078540A">
        <w:rPr>
          <w:rFonts w:eastAsiaTheme="majorEastAsia"/>
          <w:color w:val="000000" w:themeColor="text1"/>
          <w:shd w:val="clear" w:color="auto" w:fill="FFFFFF"/>
        </w:rPr>
        <w:t xml:space="preserve">; </w:t>
      </w:r>
      <w:r w:rsidR="00C6617E">
        <w:rPr>
          <w:rFonts w:eastAsiaTheme="majorEastAsia"/>
          <w:color w:val="000000" w:themeColor="text1"/>
          <w:shd w:val="clear" w:color="auto" w:fill="FFFFFF"/>
        </w:rPr>
        <w:t xml:space="preserve">greater interpretation of pain may lead to an increase in soothing behaviours </w:t>
      </w:r>
      <w:r w:rsidR="003C7020">
        <w:rPr>
          <w:rFonts w:eastAsiaTheme="majorEastAsia"/>
          <w:color w:val="000000" w:themeColor="text1"/>
          <w:shd w:val="clear" w:color="auto" w:fill="FFFFFF"/>
        </w:rPr>
        <w:t xml:space="preserve">and </w:t>
      </w:r>
      <w:r w:rsidR="0078540A">
        <w:rPr>
          <w:rFonts w:eastAsiaTheme="majorEastAsia"/>
          <w:color w:val="000000" w:themeColor="text1"/>
          <w:shd w:val="clear" w:color="auto" w:fill="FFFFFF"/>
        </w:rPr>
        <w:t>lower</w:t>
      </w:r>
      <w:r w:rsidR="00C6617E">
        <w:rPr>
          <w:rFonts w:eastAsiaTheme="majorEastAsia"/>
          <w:color w:val="000000" w:themeColor="text1"/>
          <w:shd w:val="clear" w:color="auto" w:fill="FFFFFF"/>
        </w:rPr>
        <w:t xml:space="preserve"> assessment of pain may lead to less soothing behaviours</w:t>
      </w:r>
      <w:r w:rsidR="003C7020">
        <w:rPr>
          <w:rFonts w:eastAsiaTheme="majorEastAsia"/>
          <w:color w:val="000000" w:themeColor="text1"/>
          <w:shd w:val="clear" w:color="auto" w:fill="FFFFFF"/>
        </w:rPr>
        <w:t>, which may in turn impact the child’s pain behaviours.</w:t>
      </w:r>
      <w:r w:rsidR="00BC5EDC">
        <w:rPr>
          <w:rFonts w:eastAsiaTheme="majorEastAsia"/>
          <w:color w:val="000000" w:themeColor="text1"/>
          <w:shd w:val="clear" w:color="auto" w:fill="FFFFFF"/>
        </w:rPr>
        <w:t xml:space="preserve"> Therefore, assessment of pain </w:t>
      </w:r>
      <w:r w:rsidR="0078540A">
        <w:rPr>
          <w:rFonts w:eastAsiaTheme="majorEastAsia"/>
          <w:color w:val="000000" w:themeColor="text1"/>
          <w:shd w:val="clear" w:color="auto" w:fill="FFFFFF"/>
        </w:rPr>
        <w:t xml:space="preserve">schemas </w:t>
      </w:r>
      <w:r w:rsidR="00BC5EDC">
        <w:rPr>
          <w:rFonts w:eastAsiaTheme="majorEastAsia"/>
          <w:color w:val="000000" w:themeColor="text1"/>
          <w:shd w:val="clear" w:color="auto" w:fill="FFFFFF"/>
        </w:rPr>
        <w:t xml:space="preserve">and pain management strategies </w:t>
      </w:r>
      <w:r w:rsidR="003C7020">
        <w:rPr>
          <w:rFonts w:eastAsiaTheme="majorEastAsia"/>
          <w:color w:val="000000" w:themeColor="text1"/>
          <w:shd w:val="clear" w:color="auto" w:fill="FFFFFF"/>
        </w:rPr>
        <w:t xml:space="preserve">can </w:t>
      </w:r>
      <w:r w:rsidR="0078540A">
        <w:rPr>
          <w:rFonts w:eastAsiaTheme="majorEastAsia"/>
          <w:color w:val="000000" w:themeColor="text1"/>
          <w:shd w:val="clear" w:color="auto" w:fill="FFFFFF"/>
        </w:rPr>
        <w:t>reciprocally influence</w:t>
      </w:r>
      <w:r w:rsidR="00BC5EDC">
        <w:rPr>
          <w:rFonts w:eastAsiaTheme="majorEastAsia"/>
          <w:color w:val="000000" w:themeColor="text1"/>
          <w:shd w:val="clear" w:color="auto" w:fill="FFFFFF"/>
        </w:rPr>
        <w:t xml:space="preserve"> one another and should further be analyzed </w:t>
      </w:r>
      <w:r w:rsidR="002115E6">
        <w:rPr>
          <w:rFonts w:eastAsiaTheme="majorEastAsia"/>
          <w:color w:val="000000" w:themeColor="text1"/>
          <w:shd w:val="clear" w:color="auto" w:fill="FFFFFF"/>
        </w:rPr>
        <w:t>concurrently</w:t>
      </w:r>
      <w:r w:rsidR="00BC5EDC">
        <w:rPr>
          <w:rFonts w:eastAsiaTheme="majorEastAsia"/>
          <w:color w:val="000000" w:themeColor="text1"/>
          <w:shd w:val="clear" w:color="auto" w:fill="FFFFFF"/>
        </w:rPr>
        <w:t xml:space="preserve">. The current study does not focus on </w:t>
      </w:r>
      <w:r w:rsidR="00C6617E">
        <w:rPr>
          <w:rFonts w:eastAsiaTheme="majorEastAsia"/>
          <w:color w:val="000000" w:themeColor="text1"/>
          <w:shd w:val="clear" w:color="auto" w:fill="FFFFFF"/>
        </w:rPr>
        <w:t xml:space="preserve">specific </w:t>
      </w:r>
      <w:r w:rsidR="00BC5EDC">
        <w:rPr>
          <w:rFonts w:eastAsiaTheme="majorEastAsia"/>
          <w:color w:val="000000" w:themeColor="text1"/>
          <w:shd w:val="clear" w:color="auto" w:fill="FFFFFF"/>
        </w:rPr>
        <w:t xml:space="preserve">pain management strategies nor does it touch upon the physiological consequences for caregivers during child pain and thus cannot make any conclusions regarding these important aspects of the DIAPR-R </w:t>
      </w:r>
      <w:r w:rsidR="00D27D8C">
        <w:rPr>
          <w:rFonts w:eastAsiaTheme="majorEastAsia"/>
          <w:color w:val="000000" w:themeColor="text1"/>
          <w:shd w:val="clear" w:color="auto" w:fill="FFFFFF"/>
        </w:rPr>
        <w:t xml:space="preserve">2022 </w:t>
      </w:r>
      <w:r w:rsidR="00BC5EDC">
        <w:rPr>
          <w:rFonts w:eastAsiaTheme="majorEastAsia"/>
          <w:color w:val="000000" w:themeColor="text1"/>
          <w:shd w:val="clear" w:color="auto" w:fill="FFFFFF"/>
        </w:rPr>
        <w:t xml:space="preserve">model. </w:t>
      </w:r>
      <w:r w:rsidR="00434B27" w:rsidRPr="0067297A">
        <w:rPr>
          <w:rStyle w:val="apple-converted-space"/>
          <w:rFonts w:ascii="Verdana" w:eastAsiaTheme="majorEastAsia" w:hAnsi="Verdana"/>
          <w:color w:val="000000" w:themeColor="text1"/>
          <w:sz w:val="17"/>
          <w:szCs w:val="17"/>
          <w:shd w:val="clear" w:color="auto" w:fill="FFFFFF"/>
        </w:rPr>
        <w:t xml:space="preserve"> </w:t>
      </w:r>
      <w:r w:rsidR="003277DB">
        <w:t>Finally, further to the use of our measure of acculturation, while based on a strong theoretical framework, more work must be done to validate a measure of acculturative stress that can be feasibly used in primary care settings.</w:t>
      </w:r>
    </w:p>
    <w:p w14:paraId="64281606" w14:textId="4556FED3" w:rsidR="00AA0029" w:rsidRPr="00AC6138" w:rsidRDefault="003277DB" w:rsidP="00AC6138">
      <w:pPr>
        <w:spacing w:line="480" w:lineRule="auto"/>
        <w:ind w:firstLine="720"/>
      </w:pPr>
      <w:r>
        <w:t xml:space="preserve">In terms of </w:t>
      </w:r>
      <w:r w:rsidR="00AC6138">
        <w:t xml:space="preserve">limitations, several </w:t>
      </w:r>
      <w:r>
        <w:t xml:space="preserve">caveats must be discussed. </w:t>
      </w:r>
      <w:r w:rsidR="00546A22" w:rsidRPr="00546A22">
        <w:t xml:space="preserve"> </w:t>
      </w:r>
      <w:r>
        <w:t>The</w:t>
      </w:r>
      <w:r w:rsidR="00546A22">
        <w:t xml:space="preserve"> generalizability of the study results may be affected by the caregiver</w:t>
      </w:r>
      <w:r w:rsidR="00434B27">
        <w:t>s</w:t>
      </w:r>
      <w:r w:rsidR="00546A22">
        <w:t>’ high education level</w:t>
      </w:r>
      <w:r w:rsidR="009C2FCB">
        <w:t>, English proficiency</w:t>
      </w:r>
      <w:r w:rsidR="00434B27">
        <w:t xml:space="preserve"> (which would reduce acculturation variability</w:t>
      </w:r>
      <w:r>
        <w:t xml:space="preserve"> in our sample</w:t>
      </w:r>
      <w:r w:rsidR="00434B27">
        <w:t>)</w:t>
      </w:r>
      <w:r w:rsidR="009C2FCB">
        <w:t>,</w:t>
      </w:r>
      <w:r w:rsidR="00546A22">
        <w:t xml:space="preserve"> as well as our inclusion of only healthy full-term toddlers. This may limit generalizing to individuals of lower education status and children </w:t>
      </w:r>
      <w:r w:rsidR="008F54E5">
        <w:t xml:space="preserve">who have experienced </w:t>
      </w:r>
      <w:r w:rsidR="00FF35BE">
        <w:t>greater</w:t>
      </w:r>
      <w:r w:rsidR="008F54E5">
        <w:t xml:space="preserve"> pain in early infancy such as children who were born premature, </w:t>
      </w:r>
      <w:r w:rsidR="00FF35BE">
        <w:t xml:space="preserve">have </w:t>
      </w:r>
      <w:r w:rsidR="008F54E5">
        <w:t>had previous stays in the NICU and have</w:t>
      </w:r>
      <w:r w:rsidR="00546A22">
        <w:t xml:space="preserve"> chronic </w:t>
      </w:r>
      <w:r w:rsidR="008B57BA">
        <w:t>conditions</w:t>
      </w:r>
      <w:r w:rsidR="008F54E5">
        <w:t xml:space="preserve"> or developmental delays</w:t>
      </w:r>
      <w:r w:rsidR="008B57BA">
        <w:t>.</w:t>
      </w:r>
      <w:r w:rsidR="00EA243D">
        <w:t xml:space="preserve"> </w:t>
      </w:r>
      <w:r w:rsidR="00AC6138">
        <w:t xml:space="preserve">Moreover, our team did not report race and ethnicity data but chose to ask participants to report the heritage culture(s) that have influenced their way of life most and then how much both their self-reported heritage culture and mainstream North American/Canadian culture influenced their daily </w:t>
      </w:r>
      <w:r w:rsidR="0058516C">
        <w:t>lives</w:t>
      </w:r>
      <w:r w:rsidR="00AC6138">
        <w:t xml:space="preserve">. This was done to get a sense of acculturative stress. The construct of </w:t>
      </w:r>
      <w:r w:rsidR="00AC6138">
        <w:lastRenderedPageBreak/>
        <w:t xml:space="preserve">acculturative stress was based on Berry’s classic bi-dimensional model (Berry, 1992), and while a more restrictive construct, was considered more appropriate for our research focus. As explained earlier, acculturative stress serves as a hypothesized direct mechanism of </w:t>
      </w:r>
      <w:r w:rsidR="00AC6138">
        <w:rPr>
          <w:i/>
          <w:iCs/>
        </w:rPr>
        <w:t>how</w:t>
      </w:r>
      <w:r w:rsidR="00AC6138">
        <w:t xml:space="preserve"> culture would impact pain judgments. From our perspective, race and ethnicity are context-bound terms that often vary in operationalization by both research participants and researchers. Moreover, how race and ethnicity would link to pain judgements is more complex and indirect.  However, it is recognized that this makes it more difficult to generalize to studies that use race and ethnicity to describe their participants and more work must be done due to evolving flaws in the bi-dimensional model that do not account for the complexity of acculturation today (e.g., multiple-stop migration/refugee journeys; routine access to other cultural influences from increased travel and easy access to international movies, television/streaming shows, and music).  </w:t>
      </w:r>
    </w:p>
    <w:p w14:paraId="1F1526A0" w14:textId="24D7B7B5" w:rsidR="008D1B99" w:rsidRDefault="008D1B99" w:rsidP="0032162A">
      <w:pPr>
        <w:spacing w:line="480" w:lineRule="auto"/>
        <w:ind w:firstLine="720"/>
      </w:pPr>
      <w:r>
        <w:t>This study has important clinical implications that should be noted. Given how caregivers' interpretation of the</w:t>
      </w:r>
      <w:r w:rsidR="003277DB">
        <w:t>ir</w:t>
      </w:r>
      <w:r>
        <w:t xml:space="preserve"> child’s pain may impact their ability to respond to </w:t>
      </w:r>
      <w:r w:rsidR="003277DB">
        <w:t xml:space="preserve">their </w:t>
      </w:r>
      <w:r w:rsidR="00151587">
        <w:t>child</w:t>
      </w:r>
      <w:r w:rsidR="003277DB">
        <w:t>’s</w:t>
      </w:r>
      <w:r w:rsidR="00194D52">
        <w:t xml:space="preserve"> </w:t>
      </w:r>
      <w:r>
        <w:t>pain, it is essential that any factors that impact their pain assessments be addressed and managed. As such, based on the study results, medical professionals are encouraged to be attentive to caregivers who may present signs of worry and</w:t>
      </w:r>
      <w:r w:rsidR="00C979E8">
        <w:t xml:space="preserve"> should</w:t>
      </w:r>
      <w:r>
        <w:t xml:space="preserve"> </w:t>
      </w:r>
      <w:r w:rsidR="00151587">
        <w:t>attempt to alleviate their</w:t>
      </w:r>
      <w:r>
        <w:t xml:space="preserve"> worry </w:t>
      </w:r>
      <w:r w:rsidR="00590356">
        <w:t xml:space="preserve">by </w:t>
      </w:r>
      <w:r w:rsidR="00E23332">
        <w:t>answering any questions they have</w:t>
      </w:r>
      <w:r w:rsidR="003277DB">
        <w:t xml:space="preserve">, </w:t>
      </w:r>
      <w:r w:rsidR="00727C3D">
        <w:t>building</w:t>
      </w:r>
      <w:r w:rsidR="003277DB">
        <w:t xml:space="preserve"> their confidence with pain management techniques,</w:t>
      </w:r>
      <w:r w:rsidR="00E23332">
        <w:t xml:space="preserve"> or </w:t>
      </w:r>
      <w:r w:rsidR="00727C3D">
        <w:t>addressing</w:t>
      </w:r>
      <w:r w:rsidR="00E23332">
        <w:t xml:space="preserve"> specific concerns</w:t>
      </w:r>
      <w:r w:rsidR="003277DB">
        <w:t xml:space="preserve"> they may have about the pain or the vaccination itself</w:t>
      </w:r>
      <w:r w:rsidR="00E23332">
        <w:t xml:space="preserve">. </w:t>
      </w:r>
      <w:r w:rsidR="00E70063">
        <w:t xml:space="preserve">In addition, it may be helpful to inform caregivers about what to expect during </w:t>
      </w:r>
      <w:r w:rsidR="006440A1">
        <w:t>their child’s</w:t>
      </w:r>
      <w:r w:rsidR="00E70063">
        <w:t xml:space="preserve"> painful procedure to ensure they are better prepared and can regulate their own emotional state</w:t>
      </w:r>
      <w:r w:rsidR="00B1229F">
        <w:t xml:space="preserve">, particularly for new parents who may not know what to expect. Specifically, educating caregivers on expectations surrounding a painful experience at key developmental periods of a child’s life may </w:t>
      </w:r>
      <w:r w:rsidR="00D27D8C">
        <w:t>reduce internal stress</w:t>
      </w:r>
      <w:r w:rsidR="00B1229F">
        <w:t xml:space="preserve"> and </w:t>
      </w:r>
      <w:r w:rsidR="00D27D8C">
        <w:t xml:space="preserve">allow them to focus </w:t>
      </w:r>
      <w:r w:rsidR="00B1229F">
        <w:t xml:space="preserve">more on </w:t>
      </w:r>
      <w:r w:rsidR="00D27D8C">
        <w:t xml:space="preserve">external </w:t>
      </w:r>
      <w:r w:rsidR="00D4670A">
        <w:t>indicators</w:t>
      </w:r>
      <w:r w:rsidR="00B1229F">
        <w:t xml:space="preserve"> (i.e., </w:t>
      </w:r>
      <w:r w:rsidR="00B1229F">
        <w:lastRenderedPageBreak/>
        <w:t xml:space="preserve">child’s behaviour) </w:t>
      </w:r>
      <w:r w:rsidR="00D4670A">
        <w:t>when</w:t>
      </w:r>
      <w:r w:rsidR="00B1229F">
        <w:t xml:space="preserve"> assessing their child’s level of pain.</w:t>
      </w:r>
      <w:r w:rsidR="0032162A">
        <w:t xml:space="preserve"> </w:t>
      </w:r>
      <w:r w:rsidR="006440A1">
        <w:t>M</w:t>
      </w:r>
      <w:r w:rsidR="00831CB7">
        <w:t>edical professionals</w:t>
      </w:r>
      <w:r w:rsidR="001E0A23">
        <w:t xml:space="preserve"> working with young children, particularly </w:t>
      </w:r>
      <w:proofErr w:type="gramStart"/>
      <w:r w:rsidR="001E0A23">
        <w:t>those incapable of self-report</w:t>
      </w:r>
      <w:proofErr w:type="gramEnd"/>
      <w:r w:rsidR="001E0A23">
        <w:t>, may want to consider care for young children as a dyadic context. By focusing on the parent (</w:t>
      </w:r>
      <w:r w:rsidR="00727C3D">
        <w:t>e.g.,</w:t>
      </w:r>
      <w:r w:rsidR="001E0A23">
        <w:t xml:space="preserve"> alleviating worry) they will likely be able to improve medical care for the young child. </w:t>
      </w:r>
      <w:r w:rsidR="00831CB7">
        <w:t xml:space="preserve"> </w:t>
      </w:r>
    </w:p>
    <w:p w14:paraId="2286CF7D" w14:textId="1D90EF14" w:rsidR="00BD2C1C" w:rsidRDefault="00546A22" w:rsidP="00683E09">
      <w:pPr>
        <w:spacing w:line="480" w:lineRule="auto"/>
        <w:ind w:firstLine="720"/>
      </w:pPr>
      <w:r>
        <w:t>In conclusion, t</w:t>
      </w:r>
      <w:r w:rsidR="00E12F7D">
        <w:t xml:space="preserve">his </w:t>
      </w:r>
      <w:r w:rsidR="00BD2C1C">
        <w:t xml:space="preserve">study highlights the importance of considering the </w:t>
      </w:r>
      <w:r w:rsidR="00E12F7D">
        <w:t>various</w:t>
      </w:r>
      <w:r w:rsidR="00BD2C1C">
        <w:t xml:space="preserve"> factors that may be influencing </w:t>
      </w:r>
      <w:r w:rsidR="00BB54DB">
        <w:t>caregivers</w:t>
      </w:r>
      <w:r w:rsidR="00586B93">
        <w:t>’ ratings of their child’s pain</w:t>
      </w:r>
      <w:r w:rsidR="00E12F7D">
        <w:t xml:space="preserve"> at different developmental sta</w:t>
      </w:r>
      <w:r w:rsidR="00214857">
        <w:t>ges</w:t>
      </w:r>
      <w:r w:rsidR="00586B93">
        <w:t xml:space="preserve">. It is especially important to analyze these factors with younger </w:t>
      </w:r>
      <w:r w:rsidR="00BB54DB">
        <w:t>children</w:t>
      </w:r>
      <w:r w:rsidR="008871CF">
        <w:t xml:space="preserve"> (infants and toddlers)</w:t>
      </w:r>
      <w:r w:rsidR="00586B93">
        <w:t xml:space="preserve"> who are unable to verbally communicate their pain</w:t>
      </w:r>
      <w:r w:rsidR="00E12F7D">
        <w:t xml:space="preserve"> and whose parents</w:t>
      </w:r>
      <w:r w:rsidR="00214857">
        <w:t>’</w:t>
      </w:r>
      <w:r w:rsidR="00E12F7D">
        <w:t xml:space="preserve"> pain ratings hold even more weight.</w:t>
      </w:r>
      <w:r w:rsidR="00E164C6">
        <w:t xml:space="preserve"> </w:t>
      </w:r>
      <w:r w:rsidR="008871CF">
        <w:t xml:space="preserve">Given the potentially lasting effects of inadequate pain management, it is essential to accurately assess and react to child pain, especially in the context of child vaccinations which are common routine appointments for young children. </w:t>
      </w:r>
      <w:r w:rsidR="00AD1CB1">
        <w:t xml:space="preserve">This study found that </w:t>
      </w:r>
      <w:r w:rsidR="00077D62">
        <w:t>beyond the contribution of</w:t>
      </w:r>
      <w:r w:rsidR="00AD1CB1">
        <w:t xml:space="preserve"> child pain-related distress behaviours, caregiver worry plays a significant role in determining caregivers</w:t>
      </w:r>
      <w:r w:rsidR="00077EFC">
        <w:t>’ ratings of their child’s pain.</w:t>
      </w:r>
      <w:r w:rsidR="00077D62">
        <w:t xml:space="preserve"> </w:t>
      </w:r>
      <w:r w:rsidR="00155632">
        <w:t>In fact,</w:t>
      </w:r>
      <w:r w:rsidR="00077D62">
        <w:rPr>
          <w:i/>
          <w:iCs/>
        </w:rPr>
        <w:t xml:space="preserve"> </w:t>
      </w:r>
      <w:r w:rsidR="00077D62" w:rsidRPr="00155632">
        <w:t>worry (pre and post) contributed more to pain ratings than peak distress pain behaviours of the child</w:t>
      </w:r>
      <w:r w:rsidR="00155632" w:rsidRPr="00155632">
        <w:t>.</w:t>
      </w:r>
      <w:r w:rsidR="00155632">
        <w:rPr>
          <w:i/>
          <w:iCs/>
        </w:rPr>
        <w:t xml:space="preserve"> </w:t>
      </w:r>
      <w:r w:rsidR="00214857">
        <w:t>These findings lend</w:t>
      </w:r>
      <w:r w:rsidR="003724EE">
        <w:t xml:space="preserve"> support</w:t>
      </w:r>
      <w:r w:rsidR="00214857">
        <w:t xml:space="preserve"> to </w:t>
      </w:r>
      <w:r w:rsidR="003724EE">
        <w:t xml:space="preserve">the </w:t>
      </w:r>
      <w:r w:rsidR="003724EE" w:rsidRPr="00137E54">
        <w:t>DIAPR-R</w:t>
      </w:r>
      <w:r w:rsidR="003724EE">
        <w:t xml:space="preserve"> </w:t>
      </w:r>
      <w:r w:rsidR="00077D62">
        <w:t xml:space="preserve">2022 </w:t>
      </w:r>
      <w:r w:rsidR="003724EE">
        <w:t>model</w:t>
      </w:r>
      <w:r w:rsidR="00214857">
        <w:t xml:space="preserve"> by highlighting </w:t>
      </w:r>
      <w:r w:rsidR="000D79C5">
        <w:t xml:space="preserve">the influence of caregiver factors on their </w:t>
      </w:r>
      <w:r w:rsidR="00077D62">
        <w:t xml:space="preserve">appraisal </w:t>
      </w:r>
      <w:r w:rsidR="000D79C5">
        <w:t>of their child’s pain</w:t>
      </w:r>
      <w:r w:rsidR="008871CF">
        <w:t xml:space="preserve"> and adding results from a new developmental period to the existing literature. </w:t>
      </w:r>
      <w:r w:rsidR="000D79C5">
        <w:t>Future</w:t>
      </w:r>
      <w:r w:rsidR="004F5C3F">
        <w:t xml:space="preserve"> research should </w:t>
      </w:r>
      <w:r w:rsidR="000D79C5">
        <w:t>build on these findings by examining additional</w:t>
      </w:r>
      <w:r w:rsidR="004F5C3F">
        <w:t xml:space="preserve"> variables that may influence </w:t>
      </w:r>
      <w:r w:rsidR="00BB54DB">
        <w:t>caregiver</w:t>
      </w:r>
      <w:r w:rsidR="004F5C3F">
        <w:t xml:space="preserve"> ratings of child pain</w:t>
      </w:r>
      <w:r w:rsidR="00652BBF">
        <w:t xml:space="preserve"> </w:t>
      </w:r>
      <w:r w:rsidR="00AB3340">
        <w:t>as well as understanding these relationships at other key developmental stage</w:t>
      </w:r>
      <w:r w:rsidR="0035458D">
        <w:t>s.</w:t>
      </w:r>
      <w:r w:rsidR="00FF323A">
        <w:t xml:space="preserve"> </w:t>
      </w:r>
    </w:p>
    <w:p w14:paraId="2AF1DE1A" w14:textId="77777777" w:rsidR="00C76F0E" w:rsidRDefault="002A4144" w:rsidP="003A1DCC">
      <w:pPr>
        <w:jc w:val="center"/>
      </w:pPr>
      <w:r>
        <w:br w:type="page"/>
      </w:r>
    </w:p>
    <w:p w14:paraId="2881968E" w14:textId="77777777" w:rsidR="00166C31" w:rsidRPr="003A1DCC" w:rsidRDefault="00166C31" w:rsidP="00166C31">
      <w:pPr>
        <w:spacing w:line="480" w:lineRule="auto"/>
        <w:jc w:val="center"/>
        <w:rPr>
          <w:b/>
          <w:bCs/>
        </w:rPr>
      </w:pPr>
      <w:r w:rsidRPr="003A1DCC">
        <w:rPr>
          <w:b/>
          <w:bCs/>
        </w:rPr>
        <w:lastRenderedPageBreak/>
        <w:t>Acknowledgements</w:t>
      </w:r>
    </w:p>
    <w:p w14:paraId="7AEF96A9" w14:textId="320AA129" w:rsidR="00C76F0E" w:rsidRPr="00C76F0E" w:rsidRDefault="00C76F0E" w:rsidP="00166C31">
      <w:pPr>
        <w:spacing w:line="480" w:lineRule="auto"/>
      </w:pPr>
      <w:r>
        <w:t>This work was supported by</w:t>
      </w:r>
      <w:r w:rsidR="00EF33A1">
        <w:t xml:space="preserve"> </w:t>
      </w:r>
      <w:r w:rsidR="00166C31">
        <w:t xml:space="preserve">awards to Dr. Pillai Riddell from </w:t>
      </w:r>
      <w:r w:rsidR="00EF33A1">
        <w:t>the Natural Sciences and Engineering Research Council</w:t>
      </w:r>
      <w:r w:rsidR="00166C31">
        <w:t xml:space="preserve"> of Canada</w:t>
      </w:r>
      <w:r w:rsidR="008A63C0">
        <w:t>, Canada Foundation for Innovation, and Ontario Ministry of Research and Innovation</w:t>
      </w:r>
      <w:r w:rsidR="00EF33A1">
        <w:t>.</w:t>
      </w:r>
    </w:p>
    <w:p w14:paraId="5AF4D235" w14:textId="77777777" w:rsidR="00C76F0E" w:rsidRDefault="00C76F0E" w:rsidP="003A1DCC">
      <w:pPr>
        <w:jc w:val="center"/>
      </w:pPr>
    </w:p>
    <w:p w14:paraId="631C3C2F" w14:textId="77777777" w:rsidR="00C76F0E" w:rsidRDefault="00C76F0E" w:rsidP="003A1DCC">
      <w:pPr>
        <w:jc w:val="center"/>
      </w:pPr>
    </w:p>
    <w:p w14:paraId="72B72CC0" w14:textId="77777777" w:rsidR="002A4144" w:rsidRDefault="002A4144"/>
    <w:p w14:paraId="37A40A3D" w14:textId="0A8713BE" w:rsidR="00F97E1C" w:rsidRPr="00B379A7" w:rsidRDefault="00F97E1C" w:rsidP="002A4144"/>
    <w:p w14:paraId="682C516B" w14:textId="77777777" w:rsidR="00F0197E" w:rsidRPr="00B379A7" w:rsidRDefault="00F0197E" w:rsidP="002A4144"/>
    <w:p w14:paraId="4C511017" w14:textId="77777777" w:rsidR="00994790" w:rsidRDefault="00994790" w:rsidP="002A4144"/>
    <w:p w14:paraId="2A7A76B9" w14:textId="0A212F3E" w:rsidR="00D305F0" w:rsidRDefault="00D305F0">
      <w:pPr>
        <w:rPr>
          <w:b/>
          <w:bCs/>
          <w:i/>
          <w:iCs/>
        </w:rPr>
      </w:pPr>
    </w:p>
    <w:p w14:paraId="7DFF3A8C" w14:textId="77777777" w:rsidR="0044340A" w:rsidRDefault="0044340A"/>
    <w:p w14:paraId="23CE85E7" w14:textId="77777777" w:rsidR="0044340A" w:rsidRDefault="0044340A"/>
    <w:p w14:paraId="542AD186" w14:textId="77777777" w:rsidR="0044340A" w:rsidRDefault="0044340A"/>
    <w:p w14:paraId="7A872CC9" w14:textId="77777777" w:rsidR="0044340A" w:rsidRDefault="0044340A"/>
    <w:p w14:paraId="34E5C0CC" w14:textId="77777777" w:rsidR="0044340A" w:rsidRDefault="0044340A"/>
    <w:p w14:paraId="4FBE2053" w14:textId="77777777" w:rsidR="0044340A" w:rsidRDefault="0044340A"/>
    <w:p w14:paraId="0E53449F" w14:textId="77777777" w:rsidR="0044340A" w:rsidRDefault="0044340A"/>
    <w:p w14:paraId="5849E136" w14:textId="77777777" w:rsidR="0044340A" w:rsidRDefault="0044340A"/>
    <w:p w14:paraId="4981D178" w14:textId="77777777" w:rsidR="0044340A" w:rsidRDefault="0044340A"/>
    <w:p w14:paraId="0684E9DD" w14:textId="77777777" w:rsidR="0044340A" w:rsidRDefault="0044340A"/>
    <w:p w14:paraId="5A9FC641" w14:textId="77777777" w:rsidR="0044340A" w:rsidRDefault="0044340A"/>
    <w:p w14:paraId="275CD6C6" w14:textId="77777777" w:rsidR="0044340A" w:rsidRDefault="0044340A"/>
    <w:p w14:paraId="14DB4711" w14:textId="77777777" w:rsidR="00CA63BE" w:rsidRDefault="00CA63BE"/>
    <w:p w14:paraId="71432775" w14:textId="77777777" w:rsidR="00CA63BE" w:rsidRDefault="00CA63BE"/>
    <w:p w14:paraId="13F4A68B" w14:textId="77777777" w:rsidR="00CA63BE" w:rsidRDefault="00CA63BE"/>
    <w:p w14:paraId="166D07D8" w14:textId="77777777" w:rsidR="00CA63BE" w:rsidRDefault="00CA63BE"/>
    <w:p w14:paraId="7FB60C3E" w14:textId="77777777" w:rsidR="00CA63BE" w:rsidRDefault="00CA63BE"/>
    <w:p w14:paraId="7C06C760" w14:textId="77777777" w:rsidR="0044340A" w:rsidRPr="002A4144" w:rsidRDefault="0044340A"/>
    <w:p w14:paraId="316A8790" w14:textId="77777777" w:rsidR="0044340A" w:rsidRDefault="0044340A" w:rsidP="00717B94">
      <w:pPr>
        <w:spacing w:line="480" w:lineRule="auto"/>
        <w:rPr>
          <w:b/>
          <w:bCs/>
          <w:i/>
          <w:iCs/>
        </w:rPr>
      </w:pPr>
    </w:p>
    <w:p w14:paraId="217EEBD4" w14:textId="77777777" w:rsidR="0044340A" w:rsidRDefault="0044340A" w:rsidP="0044340A"/>
    <w:p w14:paraId="0D7CA0DC" w14:textId="77777777" w:rsidR="0044340A" w:rsidRPr="0044340A" w:rsidRDefault="0044340A" w:rsidP="0044340A">
      <w:pPr>
        <w:spacing w:line="480" w:lineRule="auto"/>
      </w:pPr>
    </w:p>
    <w:p w14:paraId="3CF51FAD" w14:textId="5EDF648B" w:rsidR="001E1B0C" w:rsidRPr="002A4144" w:rsidRDefault="00B7480E" w:rsidP="00B26C89">
      <w:pPr>
        <w:spacing w:line="480" w:lineRule="auto"/>
        <w:jc w:val="center"/>
        <w:rPr>
          <w:b/>
          <w:bCs/>
          <w:i/>
          <w:iCs/>
        </w:rPr>
      </w:pPr>
      <w:r>
        <w:rPr>
          <w:b/>
          <w:bCs/>
          <w:i/>
          <w:iCs/>
        </w:rPr>
        <w:br w:type="page"/>
      </w:r>
      <w:r w:rsidR="00B502A8" w:rsidRPr="004D6240">
        <w:rPr>
          <w:b/>
          <w:bCs/>
        </w:rPr>
        <w:lastRenderedPageBreak/>
        <w:t>References</w:t>
      </w:r>
    </w:p>
    <w:p w14:paraId="273A092B" w14:textId="787E8EF5" w:rsidR="003C37AD" w:rsidRDefault="000F0928" w:rsidP="003C37AD">
      <w:pPr>
        <w:spacing w:line="480" w:lineRule="auto"/>
        <w:ind w:left="720" w:hanging="720"/>
      </w:pPr>
      <w:bookmarkStart w:id="0" w:name="B01"/>
      <w:r w:rsidRPr="000F0928">
        <w:rPr>
          <w:rFonts w:hint="eastAsia"/>
        </w:rPr>
        <w:t>Abidin, R. R. (1983). </w:t>
      </w:r>
      <w:r w:rsidRPr="000F0928">
        <w:rPr>
          <w:rFonts w:hint="eastAsia"/>
          <w:i/>
          <w:iCs/>
        </w:rPr>
        <w:t>The Parenting Stress Index</w:t>
      </w:r>
      <w:r w:rsidRPr="000F0928">
        <w:rPr>
          <w:rFonts w:hint="eastAsia"/>
        </w:rPr>
        <w:t>. Pediatric Psychology Press.</w:t>
      </w:r>
      <w:bookmarkEnd w:id="0"/>
    </w:p>
    <w:p w14:paraId="588DF9B8" w14:textId="2A3F5321" w:rsidR="003F3AB8" w:rsidRDefault="003F3AB8" w:rsidP="003F3AB8">
      <w:pPr>
        <w:spacing w:line="480" w:lineRule="auto"/>
        <w:ind w:left="720" w:hanging="720"/>
      </w:pPr>
      <w:proofErr w:type="spellStart"/>
      <w:r w:rsidRPr="003F3AB8">
        <w:t>Akbarzadeh</w:t>
      </w:r>
      <w:proofErr w:type="spellEnd"/>
      <w:r w:rsidRPr="003F3AB8">
        <w:t xml:space="preserve">, G., </w:t>
      </w:r>
      <w:proofErr w:type="spellStart"/>
      <w:r w:rsidRPr="003F3AB8">
        <w:t>Daniali</w:t>
      </w:r>
      <w:proofErr w:type="spellEnd"/>
      <w:r w:rsidRPr="003F3AB8">
        <w:t xml:space="preserve">, H., </w:t>
      </w:r>
      <w:proofErr w:type="spellStart"/>
      <w:r w:rsidRPr="003F3AB8">
        <w:t>Javdzadh</w:t>
      </w:r>
      <w:proofErr w:type="spellEnd"/>
      <w:r w:rsidRPr="003F3AB8">
        <w:t xml:space="preserve">, M., </w:t>
      </w:r>
      <w:proofErr w:type="spellStart"/>
      <w:r w:rsidRPr="003F3AB8">
        <w:t>Caes</w:t>
      </w:r>
      <w:proofErr w:type="spellEnd"/>
      <w:r w:rsidRPr="003F3AB8">
        <w:t xml:space="preserve">, L., </w:t>
      </w:r>
      <w:proofErr w:type="spellStart"/>
      <w:r w:rsidRPr="003F3AB8">
        <w:t>Ranjbar</w:t>
      </w:r>
      <w:proofErr w:type="spellEnd"/>
      <w:r w:rsidRPr="003F3AB8">
        <w:t xml:space="preserve">, S., &amp; Habibi, M. (2018). The </w:t>
      </w:r>
      <w:r w:rsidR="00EF33A1">
        <w:t>r</w:t>
      </w:r>
      <w:r w:rsidRPr="003F3AB8">
        <w:t xml:space="preserve">elationship of </w:t>
      </w:r>
      <w:r w:rsidR="00EF33A1">
        <w:t>p</w:t>
      </w:r>
      <w:r w:rsidRPr="003F3AB8">
        <w:t xml:space="preserve">arental </w:t>
      </w:r>
      <w:r w:rsidR="00EF33A1">
        <w:t>p</w:t>
      </w:r>
      <w:r w:rsidRPr="003F3AB8">
        <w:t xml:space="preserve">ain </w:t>
      </w:r>
      <w:r w:rsidR="00EF33A1">
        <w:t>c</w:t>
      </w:r>
      <w:r w:rsidRPr="003F3AB8">
        <w:t xml:space="preserve">atastrophizing with </w:t>
      </w:r>
      <w:r w:rsidR="00EF33A1">
        <w:t>p</w:t>
      </w:r>
      <w:r w:rsidRPr="003F3AB8">
        <w:t xml:space="preserve">arents </w:t>
      </w:r>
      <w:r w:rsidR="00EF33A1">
        <w:t>r</w:t>
      </w:r>
      <w:r w:rsidRPr="003F3AB8">
        <w:t xml:space="preserve">eports of </w:t>
      </w:r>
      <w:r w:rsidR="00EF33A1">
        <w:t>c</w:t>
      </w:r>
      <w:r w:rsidRPr="003F3AB8">
        <w:t xml:space="preserve">hildren's </w:t>
      </w:r>
      <w:r w:rsidR="00EF33A1">
        <w:t>a</w:t>
      </w:r>
      <w:r w:rsidRPr="003F3AB8">
        <w:t xml:space="preserve">nxiety, </w:t>
      </w:r>
      <w:r w:rsidR="00EF33A1">
        <w:t>d</w:t>
      </w:r>
      <w:r w:rsidRPr="003F3AB8">
        <w:t xml:space="preserve">epression, and </w:t>
      </w:r>
      <w:r w:rsidR="00EF33A1">
        <w:t>h</w:t>
      </w:r>
      <w:r w:rsidRPr="003F3AB8">
        <w:t xml:space="preserve">eadache </w:t>
      </w:r>
      <w:r w:rsidR="00EF33A1">
        <w:t>s</w:t>
      </w:r>
      <w:r w:rsidRPr="003F3AB8">
        <w:t>everity. </w:t>
      </w:r>
      <w:r w:rsidRPr="003F3AB8">
        <w:rPr>
          <w:i/>
          <w:iCs/>
        </w:rPr>
        <w:t xml:space="preserve">Iranian </w:t>
      </w:r>
      <w:r w:rsidR="00EF33A1">
        <w:rPr>
          <w:i/>
          <w:iCs/>
        </w:rPr>
        <w:t>J</w:t>
      </w:r>
      <w:r w:rsidRPr="003F3AB8">
        <w:rPr>
          <w:i/>
          <w:iCs/>
        </w:rPr>
        <w:t xml:space="preserve">ournal of </w:t>
      </w:r>
      <w:r w:rsidR="00EF33A1">
        <w:rPr>
          <w:i/>
          <w:iCs/>
        </w:rPr>
        <w:t>C</w:t>
      </w:r>
      <w:r w:rsidRPr="003F3AB8">
        <w:rPr>
          <w:i/>
          <w:iCs/>
        </w:rPr>
        <w:t xml:space="preserve">hild </w:t>
      </w:r>
      <w:r w:rsidR="00EF33A1">
        <w:rPr>
          <w:i/>
          <w:iCs/>
        </w:rPr>
        <w:t>N</w:t>
      </w:r>
      <w:r w:rsidRPr="003F3AB8">
        <w:rPr>
          <w:i/>
          <w:iCs/>
        </w:rPr>
        <w:t>eurology</w:t>
      </w:r>
      <w:r w:rsidRPr="003F3AB8">
        <w:t>, </w:t>
      </w:r>
      <w:r w:rsidRPr="003F3AB8">
        <w:rPr>
          <w:i/>
          <w:iCs/>
        </w:rPr>
        <w:t>12</w:t>
      </w:r>
      <w:r w:rsidRPr="003F3AB8">
        <w:t>(1), 55–66.</w:t>
      </w:r>
    </w:p>
    <w:p w14:paraId="285F2EAA" w14:textId="23B951C4" w:rsidR="00152529" w:rsidRDefault="00152529" w:rsidP="00E4716E">
      <w:pPr>
        <w:spacing w:line="480" w:lineRule="auto"/>
        <w:ind w:left="720" w:hanging="720"/>
      </w:pPr>
      <w:r>
        <w:t xml:space="preserve">Anand, K.S., Grunau, </w:t>
      </w:r>
      <w:r w:rsidR="00E4716E">
        <w:t xml:space="preserve">R. E., &amp; </w:t>
      </w:r>
      <w:r>
        <w:t>Oberlander,</w:t>
      </w:r>
      <w:r w:rsidR="00E4716E">
        <w:t xml:space="preserve"> T.F. (1997). </w:t>
      </w:r>
      <w:r>
        <w:t xml:space="preserve">Developmental </w:t>
      </w:r>
      <w:r w:rsidR="00E4716E">
        <w:t>c</w:t>
      </w:r>
      <w:r>
        <w:t xml:space="preserve">haracter and </w:t>
      </w:r>
      <w:r w:rsidR="00E4716E">
        <w:t>l</w:t>
      </w:r>
      <w:r>
        <w:t>ong-</w:t>
      </w:r>
      <w:r w:rsidR="00E4716E">
        <w:t>t</w:t>
      </w:r>
      <w:r>
        <w:t xml:space="preserve">erm </w:t>
      </w:r>
      <w:r w:rsidR="00E4716E">
        <w:t>c</w:t>
      </w:r>
      <w:r>
        <w:t xml:space="preserve">onsequences of </w:t>
      </w:r>
      <w:r w:rsidR="00E4716E">
        <w:t>p</w:t>
      </w:r>
      <w:r>
        <w:t xml:space="preserve">ain in </w:t>
      </w:r>
      <w:r w:rsidR="00E4716E">
        <w:t>i</w:t>
      </w:r>
      <w:r>
        <w:t xml:space="preserve">nfants and </w:t>
      </w:r>
      <w:r w:rsidR="00E4716E">
        <w:t>c</w:t>
      </w:r>
      <w:r>
        <w:t>hildren</w:t>
      </w:r>
      <w:r w:rsidR="00E4716E">
        <w:t xml:space="preserve">. </w:t>
      </w:r>
      <w:r w:rsidR="00E4716E">
        <w:rPr>
          <w:i/>
          <w:iCs/>
        </w:rPr>
        <w:t>Pain Management in Children, 6</w:t>
      </w:r>
      <w:r w:rsidR="00E4716E">
        <w:t xml:space="preserve">(4), 703-724. </w:t>
      </w:r>
      <w:r>
        <w:t>https://doi.org/10.1016/S1056-4993(18)30274-8.</w:t>
      </w:r>
    </w:p>
    <w:p w14:paraId="5A64D1DC" w14:textId="7C2AD7C2" w:rsidR="003C37AD" w:rsidRDefault="003C37AD" w:rsidP="003C37AD">
      <w:pPr>
        <w:spacing w:line="480" w:lineRule="auto"/>
        <w:ind w:left="720" w:hanging="720"/>
        <w:rPr>
          <w:color w:val="000000" w:themeColor="text1"/>
        </w:rPr>
      </w:pPr>
      <w:r w:rsidRPr="003A618A">
        <w:rPr>
          <w:color w:val="000000" w:themeColor="text1"/>
        </w:rPr>
        <w:t>Anthony,</w:t>
      </w:r>
      <w:r>
        <w:rPr>
          <w:color w:val="000000" w:themeColor="text1"/>
        </w:rPr>
        <w:t xml:space="preserve"> K. K.,</w:t>
      </w:r>
      <w:r w:rsidRPr="003A618A">
        <w:rPr>
          <w:color w:val="000000" w:themeColor="text1"/>
        </w:rPr>
        <w:t xml:space="preserve"> Bromberg, </w:t>
      </w:r>
      <w:r>
        <w:rPr>
          <w:color w:val="000000" w:themeColor="text1"/>
        </w:rPr>
        <w:t xml:space="preserve">M. H., Gil, K. M., </w:t>
      </w:r>
      <w:r w:rsidRPr="003A618A">
        <w:rPr>
          <w:color w:val="000000" w:themeColor="text1"/>
        </w:rPr>
        <w:t xml:space="preserve">&amp; </w:t>
      </w:r>
      <w:proofErr w:type="spellStart"/>
      <w:r w:rsidRPr="003A618A">
        <w:rPr>
          <w:color w:val="000000" w:themeColor="text1"/>
        </w:rPr>
        <w:t>Schanberg</w:t>
      </w:r>
      <w:proofErr w:type="spellEnd"/>
      <w:r>
        <w:rPr>
          <w:color w:val="000000" w:themeColor="text1"/>
        </w:rPr>
        <w:t>, L. E.</w:t>
      </w:r>
      <w:r w:rsidRPr="003A618A">
        <w:rPr>
          <w:color w:val="000000" w:themeColor="text1"/>
        </w:rPr>
        <w:t> (2011)</w:t>
      </w:r>
      <w:r>
        <w:rPr>
          <w:color w:val="000000" w:themeColor="text1"/>
        </w:rPr>
        <w:t>.</w:t>
      </w:r>
      <w:r w:rsidRPr="003A618A">
        <w:rPr>
          <w:color w:val="000000" w:themeColor="text1"/>
        </w:rPr>
        <w:t xml:space="preserve"> Parental </w:t>
      </w:r>
      <w:r>
        <w:rPr>
          <w:color w:val="000000" w:themeColor="text1"/>
        </w:rPr>
        <w:t>p</w:t>
      </w:r>
      <w:r w:rsidRPr="003A618A">
        <w:rPr>
          <w:color w:val="000000" w:themeColor="text1"/>
        </w:rPr>
        <w:t xml:space="preserve">erceptions of </w:t>
      </w:r>
      <w:r>
        <w:rPr>
          <w:color w:val="000000" w:themeColor="text1"/>
        </w:rPr>
        <w:t>c</w:t>
      </w:r>
      <w:r w:rsidRPr="003A618A">
        <w:rPr>
          <w:color w:val="000000" w:themeColor="text1"/>
        </w:rPr>
        <w:t xml:space="preserve">hild </w:t>
      </w:r>
      <w:r>
        <w:rPr>
          <w:color w:val="000000" w:themeColor="text1"/>
        </w:rPr>
        <w:t>v</w:t>
      </w:r>
      <w:r w:rsidRPr="003A618A">
        <w:rPr>
          <w:color w:val="000000" w:themeColor="text1"/>
        </w:rPr>
        <w:t xml:space="preserve">ulnerability and </w:t>
      </w:r>
      <w:r>
        <w:rPr>
          <w:color w:val="000000" w:themeColor="text1"/>
        </w:rPr>
        <w:t>p</w:t>
      </w:r>
      <w:r w:rsidRPr="003A618A">
        <w:rPr>
          <w:color w:val="000000" w:themeColor="text1"/>
        </w:rPr>
        <w:t xml:space="preserve">arent </w:t>
      </w:r>
      <w:r>
        <w:rPr>
          <w:color w:val="000000" w:themeColor="text1"/>
        </w:rPr>
        <w:t>s</w:t>
      </w:r>
      <w:r w:rsidRPr="003A618A">
        <w:rPr>
          <w:color w:val="000000" w:themeColor="text1"/>
        </w:rPr>
        <w:t xml:space="preserve">tress as </w:t>
      </w:r>
      <w:r>
        <w:rPr>
          <w:color w:val="000000" w:themeColor="text1"/>
        </w:rPr>
        <w:t>p</w:t>
      </w:r>
      <w:r w:rsidRPr="003A618A">
        <w:rPr>
          <w:color w:val="000000" w:themeColor="text1"/>
        </w:rPr>
        <w:t xml:space="preserve">redictors of </w:t>
      </w:r>
      <w:r>
        <w:rPr>
          <w:color w:val="000000" w:themeColor="text1"/>
        </w:rPr>
        <w:t>p</w:t>
      </w:r>
      <w:r w:rsidRPr="003A618A">
        <w:rPr>
          <w:color w:val="000000" w:themeColor="text1"/>
        </w:rPr>
        <w:t xml:space="preserve">ain and </w:t>
      </w:r>
      <w:r>
        <w:rPr>
          <w:color w:val="000000" w:themeColor="text1"/>
        </w:rPr>
        <w:t>a</w:t>
      </w:r>
      <w:r w:rsidRPr="003A618A">
        <w:rPr>
          <w:color w:val="000000" w:themeColor="text1"/>
        </w:rPr>
        <w:t xml:space="preserve">djustment in </w:t>
      </w:r>
      <w:r>
        <w:rPr>
          <w:color w:val="000000" w:themeColor="text1"/>
        </w:rPr>
        <w:t>c</w:t>
      </w:r>
      <w:r w:rsidRPr="003A618A">
        <w:rPr>
          <w:color w:val="000000" w:themeColor="text1"/>
        </w:rPr>
        <w:t xml:space="preserve">hildren </w:t>
      </w:r>
      <w:r>
        <w:rPr>
          <w:color w:val="000000" w:themeColor="text1"/>
        </w:rPr>
        <w:t>w</w:t>
      </w:r>
      <w:r w:rsidRPr="003A618A">
        <w:rPr>
          <w:color w:val="000000" w:themeColor="text1"/>
        </w:rPr>
        <w:t xml:space="preserve">ith </w:t>
      </w:r>
      <w:r>
        <w:rPr>
          <w:color w:val="000000" w:themeColor="text1"/>
        </w:rPr>
        <w:t>c</w:t>
      </w:r>
      <w:r w:rsidRPr="003A618A">
        <w:rPr>
          <w:color w:val="000000" w:themeColor="text1"/>
        </w:rPr>
        <w:t xml:space="preserve">hronic </w:t>
      </w:r>
      <w:r>
        <w:rPr>
          <w:color w:val="000000" w:themeColor="text1"/>
        </w:rPr>
        <w:t>a</w:t>
      </w:r>
      <w:r w:rsidRPr="003A618A">
        <w:rPr>
          <w:color w:val="000000" w:themeColor="text1"/>
        </w:rPr>
        <w:t>rthritis</w:t>
      </w:r>
      <w:r>
        <w:rPr>
          <w:color w:val="000000" w:themeColor="text1"/>
        </w:rPr>
        <w:t xml:space="preserve">. </w:t>
      </w:r>
      <w:r w:rsidRPr="003A618A">
        <w:rPr>
          <w:i/>
          <w:iCs/>
          <w:color w:val="000000" w:themeColor="text1"/>
        </w:rPr>
        <w:t>Children's Health Care, 40</w:t>
      </w:r>
      <w:r>
        <w:rPr>
          <w:color w:val="000000" w:themeColor="text1"/>
        </w:rPr>
        <w:t>(</w:t>
      </w:r>
      <w:r w:rsidRPr="003A618A">
        <w:rPr>
          <w:color w:val="000000" w:themeColor="text1"/>
        </w:rPr>
        <w:t>1</w:t>
      </w:r>
      <w:r>
        <w:rPr>
          <w:color w:val="000000" w:themeColor="text1"/>
        </w:rPr>
        <w:t>)</w:t>
      </w:r>
      <w:r w:rsidRPr="003A618A">
        <w:rPr>
          <w:color w:val="000000" w:themeColor="text1"/>
        </w:rPr>
        <w:t>, 5</w:t>
      </w:r>
      <w:r>
        <w:rPr>
          <w:color w:val="000000" w:themeColor="text1"/>
        </w:rPr>
        <w:t xml:space="preserve">3-69.  </w:t>
      </w:r>
      <w:r w:rsidRPr="003A618A">
        <w:rPr>
          <w:color w:val="000000" w:themeColor="text1"/>
        </w:rPr>
        <w:t>DOI: </w:t>
      </w:r>
      <w:hyperlink r:id="rId8" w:history="1">
        <w:r w:rsidRPr="003A618A">
          <w:rPr>
            <w:rStyle w:val="Hyperlink"/>
          </w:rPr>
          <w:t>10.1080/02739615.2011.537938</w:t>
        </w:r>
      </w:hyperlink>
    </w:p>
    <w:p w14:paraId="60FAD07D" w14:textId="4BCE6650" w:rsidR="008B620A" w:rsidRPr="008B620A" w:rsidRDefault="004135AA" w:rsidP="008B620A">
      <w:pPr>
        <w:spacing w:line="480" w:lineRule="auto"/>
        <w:ind w:left="720" w:hanging="720"/>
        <w:rPr>
          <w:color w:val="0563C1" w:themeColor="hyperlink"/>
          <w:u w:val="single"/>
        </w:rPr>
      </w:pPr>
      <w:r w:rsidRPr="004135AA">
        <w:rPr>
          <w:color w:val="000000" w:themeColor="text1"/>
        </w:rPr>
        <w:t>Bearden,</w:t>
      </w:r>
      <w:r>
        <w:rPr>
          <w:color w:val="000000" w:themeColor="text1"/>
        </w:rPr>
        <w:t xml:space="preserve"> D. J.,</w:t>
      </w:r>
      <w:r w:rsidRPr="004135AA">
        <w:rPr>
          <w:color w:val="000000" w:themeColor="text1"/>
        </w:rPr>
        <w:t xml:space="preserve"> Feinstein,</w:t>
      </w:r>
      <w:r>
        <w:rPr>
          <w:color w:val="000000" w:themeColor="text1"/>
        </w:rPr>
        <w:t xml:space="preserve"> A.,</w:t>
      </w:r>
      <w:r w:rsidRPr="004135AA">
        <w:rPr>
          <w:color w:val="000000" w:themeColor="text1"/>
        </w:rPr>
        <w:t xml:space="preserve"> </w:t>
      </w:r>
      <w:r>
        <w:rPr>
          <w:color w:val="000000" w:themeColor="text1"/>
        </w:rPr>
        <w:t xml:space="preserve">&amp; </w:t>
      </w:r>
      <w:r w:rsidRPr="004135AA">
        <w:rPr>
          <w:color w:val="000000" w:themeColor="text1"/>
        </w:rPr>
        <w:t xml:space="preserve">Cohen, </w:t>
      </w:r>
      <w:r>
        <w:rPr>
          <w:color w:val="000000" w:themeColor="text1"/>
        </w:rPr>
        <w:t>L. L. (2012).</w:t>
      </w:r>
      <w:r w:rsidRPr="004135AA">
        <w:rPr>
          <w:color w:val="000000" w:themeColor="text1"/>
        </w:rPr>
        <w:t xml:space="preserve"> The </w:t>
      </w:r>
      <w:r>
        <w:rPr>
          <w:color w:val="000000" w:themeColor="text1"/>
        </w:rPr>
        <w:t>i</w:t>
      </w:r>
      <w:r w:rsidRPr="004135AA">
        <w:rPr>
          <w:color w:val="000000" w:themeColor="text1"/>
        </w:rPr>
        <w:t xml:space="preserve">nfluence of </w:t>
      </w:r>
      <w:r>
        <w:rPr>
          <w:color w:val="000000" w:themeColor="text1"/>
        </w:rPr>
        <w:t>p</w:t>
      </w:r>
      <w:r w:rsidRPr="004135AA">
        <w:rPr>
          <w:color w:val="000000" w:themeColor="text1"/>
        </w:rPr>
        <w:t xml:space="preserve">arent </w:t>
      </w:r>
      <w:r>
        <w:rPr>
          <w:color w:val="000000" w:themeColor="text1"/>
        </w:rPr>
        <w:t>p</w:t>
      </w:r>
      <w:r w:rsidRPr="004135AA">
        <w:rPr>
          <w:color w:val="000000" w:themeColor="text1"/>
        </w:rPr>
        <w:t xml:space="preserve">reprocedural </w:t>
      </w:r>
      <w:r>
        <w:rPr>
          <w:color w:val="000000" w:themeColor="text1"/>
        </w:rPr>
        <w:t>a</w:t>
      </w:r>
      <w:r w:rsidRPr="004135AA">
        <w:rPr>
          <w:color w:val="000000" w:themeColor="text1"/>
        </w:rPr>
        <w:t xml:space="preserve">nxiety on </w:t>
      </w:r>
      <w:r>
        <w:rPr>
          <w:color w:val="000000" w:themeColor="text1"/>
        </w:rPr>
        <w:t>c</w:t>
      </w:r>
      <w:r w:rsidRPr="004135AA">
        <w:rPr>
          <w:color w:val="000000" w:themeColor="text1"/>
        </w:rPr>
        <w:t xml:space="preserve">hild </w:t>
      </w:r>
      <w:r>
        <w:rPr>
          <w:color w:val="000000" w:themeColor="text1"/>
        </w:rPr>
        <w:t>p</w:t>
      </w:r>
      <w:r w:rsidRPr="004135AA">
        <w:rPr>
          <w:color w:val="000000" w:themeColor="text1"/>
        </w:rPr>
        <w:t>rocedural</w:t>
      </w:r>
      <w:r>
        <w:rPr>
          <w:color w:val="000000" w:themeColor="text1"/>
        </w:rPr>
        <w:t xml:space="preserve"> p</w:t>
      </w:r>
      <w:r w:rsidRPr="004135AA">
        <w:rPr>
          <w:color w:val="000000" w:themeColor="text1"/>
        </w:rPr>
        <w:t xml:space="preserve">ain: Mediation by </w:t>
      </w:r>
      <w:r>
        <w:rPr>
          <w:color w:val="000000" w:themeColor="text1"/>
        </w:rPr>
        <w:t>c</w:t>
      </w:r>
      <w:r w:rsidRPr="004135AA">
        <w:rPr>
          <w:color w:val="000000" w:themeColor="text1"/>
        </w:rPr>
        <w:t xml:space="preserve">hild </w:t>
      </w:r>
      <w:r>
        <w:rPr>
          <w:color w:val="000000" w:themeColor="text1"/>
        </w:rPr>
        <w:t>p</w:t>
      </w:r>
      <w:r w:rsidRPr="004135AA">
        <w:rPr>
          <w:color w:val="000000" w:themeColor="text1"/>
        </w:rPr>
        <w:t xml:space="preserve">rocedural </w:t>
      </w:r>
      <w:r>
        <w:rPr>
          <w:color w:val="000000" w:themeColor="text1"/>
        </w:rPr>
        <w:t>a</w:t>
      </w:r>
      <w:r w:rsidRPr="004135AA">
        <w:rPr>
          <w:color w:val="000000" w:themeColor="text1"/>
        </w:rPr>
        <w:t>nxiety</w:t>
      </w:r>
      <w:r>
        <w:rPr>
          <w:color w:val="000000" w:themeColor="text1"/>
        </w:rPr>
        <w:t>.</w:t>
      </w:r>
      <w:r w:rsidRPr="004135AA">
        <w:rPr>
          <w:color w:val="000000" w:themeColor="text1"/>
        </w:rPr>
        <w:t> </w:t>
      </w:r>
      <w:r w:rsidRPr="004135AA">
        <w:rPr>
          <w:i/>
          <w:iCs/>
          <w:color w:val="000000" w:themeColor="text1"/>
        </w:rPr>
        <w:t>Journal of Pediatric Psychology</w:t>
      </w:r>
      <w:r w:rsidRPr="004135AA">
        <w:rPr>
          <w:color w:val="000000" w:themeColor="text1"/>
        </w:rPr>
        <w:t xml:space="preserve">, </w:t>
      </w:r>
      <w:r w:rsidRPr="004135AA">
        <w:rPr>
          <w:i/>
          <w:iCs/>
          <w:color w:val="000000" w:themeColor="text1"/>
        </w:rPr>
        <w:t>37</w:t>
      </w:r>
      <w:r>
        <w:rPr>
          <w:color w:val="000000" w:themeColor="text1"/>
        </w:rPr>
        <w:t>(</w:t>
      </w:r>
      <w:r w:rsidRPr="004135AA">
        <w:rPr>
          <w:color w:val="000000" w:themeColor="text1"/>
        </w:rPr>
        <w:t>6</w:t>
      </w:r>
      <w:r>
        <w:rPr>
          <w:color w:val="000000" w:themeColor="text1"/>
        </w:rPr>
        <w:t>)</w:t>
      </w:r>
      <w:r w:rsidRPr="004135AA">
        <w:rPr>
          <w:color w:val="000000" w:themeColor="text1"/>
        </w:rPr>
        <w:t>, 680–686, </w:t>
      </w:r>
      <w:hyperlink r:id="rId9" w:history="1">
        <w:r w:rsidRPr="004135AA">
          <w:rPr>
            <w:rStyle w:val="Hyperlink"/>
          </w:rPr>
          <w:t>https://doi.org/10.1093/jpepsy/jss041</w:t>
        </w:r>
      </w:hyperlink>
    </w:p>
    <w:p w14:paraId="054F7189" w14:textId="078A47B4" w:rsidR="00EF33A1" w:rsidRDefault="00BC3943" w:rsidP="00EF33A1">
      <w:pPr>
        <w:spacing w:line="480" w:lineRule="auto"/>
        <w:ind w:left="720" w:hanging="720"/>
        <w:rPr>
          <w:rStyle w:val="Hyperlink"/>
        </w:rPr>
      </w:pPr>
      <w:r w:rsidRPr="00BC3943">
        <w:rPr>
          <w:lang w:val="en-US"/>
        </w:rPr>
        <w:t>Bernard</w:t>
      </w:r>
      <w:r w:rsidR="00EF33A1">
        <w:rPr>
          <w:lang w:val="en-US"/>
        </w:rPr>
        <w:t>,</w:t>
      </w:r>
      <w:r w:rsidRPr="00BC3943">
        <w:rPr>
          <w:lang w:val="en-US"/>
        </w:rPr>
        <w:t xml:space="preserve"> R</w:t>
      </w:r>
      <w:r w:rsidR="00EF33A1">
        <w:rPr>
          <w:lang w:val="en-US"/>
        </w:rPr>
        <w:t>.</w:t>
      </w:r>
      <w:r w:rsidRPr="00BC3943">
        <w:rPr>
          <w:lang w:val="en-US"/>
        </w:rPr>
        <w:t>,</w:t>
      </w:r>
      <w:r w:rsidR="00727C3D">
        <w:rPr>
          <w:lang w:val="en-US"/>
        </w:rPr>
        <w:t xml:space="preserve"> &amp;</w:t>
      </w:r>
      <w:r w:rsidRPr="00BC3943">
        <w:rPr>
          <w:lang w:val="en-US"/>
        </w:rPr>
        <w:t xml:space="preserve"> Cohen</w:t>
      </w:r>
      <w:r w:rsidR="00EF33A1">
        <w:rPr>
          <w:lang w:val="en-US"/>
        </w:rPr>
        <w:t>,</w:t>
      </w:r>
      <w:r w:rsidRPr="00BC3943">
        <w:rPr>
          <w:lang w:val="en-US"/>
        </w:rPr>
        <w:t xml:space="preserve"> L.</w:t>
      </w:r>
      <w:r w:rsidR="00EF33A1">
        <w:rPr>
          <w:lang w:val="en-US"/>
        </w:rPr>
        <w:t xml:space="preserve"> (2006).</w:t>
      </w:r>
      <w:r w:rsidRPr="00BC3943">
        <w:rPr>
          <w:lang w:val="en-US"/>
        </w:rPr>
        <w:t xml:space="preserve"> Parent anxiety and infant pain during pediatric immunizations. </w:t>
      </w:r>
      <w:r w:rsidR="00EF33A1">
        <w:rPr>
          <w:i/>
          <w:iCs/>
          <w:lang w:val="en-US"/>
        </w:rPr>
        <w:t>Journal of Clinical Psychology in Medical Settings,</w:t>
      </w:r>
      <w:r w:rsidRPr="00EF33A1">
        <w:rPr>
          <w:i/>
          <w:iCs/>
          <w:lang w:val="en-US"/>
        </w:rPr>
        <w:t>13</w:t>
      </w:r>
      <w:r w:rsidR="00EF33A1">
        <w:rPr>
          <w:lang w:val="en-US"/>
        </w:rPr>
        <w:t>(3),</w:t>
      </w:r>
      <w:r w:rsidRPr="00BC3943">
        <w:rPr>
          <w:lang w:val="en-US"/>
        </w:rPr>
        <w:t xml:space="preserve"> 285–290.</w:t>
      </w:r>
      <w:r w:rsidR="00EF33A1">
        <w:rPr>
          <w:lang w:val="en-US"/>
        </w:rPr>
        <w:t xml:space="preserve"> </w:t>
      </w:r>
      <w:hyperlink r:id="rId10" w:history="1">
        <w:r w:rsidR="00EF33A1" w:rsidRPr="00EF33A1">
          <w:rPr>
            <w:rStyle w:val="Hyperlink"/>
          </w:rPr>
          <w:t>https://doi.org/10.1007/s10880-006-9027-6</w:t>
        </w:r>
      </w:hyperlink>
    </w:p>
    <w:p w14:paraId="2668E028" w14:textId="1005AEC6" w:rsidR="008B620A" w:rsidRDefault="008B620A" w:rsidP="008B620A">
      <w:pPr>
        <w:spacing w:line="480" w:lineRule="auto"/>
        <w:ind w:left="720" w:hanging="720"/>
        <w:rPr>
          <w:color w:val="000000" w:themeColor="text1"/>
        </w:rPr>
      </w:pPr>
      <w:r w:rsidRPr="008B620A">
        <w:rPr>
          <w:color w:val="000000" w:themeColor="text1"/>
        </w:rPr>
        <w:t>Berry</w:t>
      </w:r>
      <w:r>
        <w:rPr>
          <w:color w:val="000000" w:themeColor="text1"/>
        </w:rPr>
        <w:t>,</w:t>
      </w:r>
      <w:r w:rsidRPr="008B620A">
        <w:rPr>
          <w:color w:val="000000" w:themeColor="text1"/>
        </w:rPr>
        <w:t xml:space="preserve"> J</w:t>
      </w:r>
      <w:r w:rsidR="00727C3D">
        <w:rPr>
          <w:color w:val="000000" w:themeColor="text1"/>
        </w:rPr>
        <w:t>.</w:t>
      </w:r>
      <w:r w:rsidRPr="008B620A">
        <w:rPr>
          <w:color w:val="000000" w:themeColor="text1"/>
        </w:rPr>
        <w:t>W</w:t>
      </w:r>
      <w:r w:rsidR="00727C3D">
        <w:rPr>
          <w:color w:val="000000" w:themeColor="text1"/>
        </w:rPr>
        <w:t>.</w:t>
      </w:r>
      <w:r w:rsidRPr="008B620A">
        <w:rPr>
          <w:color w:val="000000" w:themeColor="text1"/>
        </w:rPr>
        <w:t xml:space="preserve"> </w:t>
      </w:r>
      <w:r>
        <w:rPr>
          <w:color w:val="000000" w:themeColor="text1"/>
        </w:rPr>
        <w:t xml:space="preserve">(1980). </w:t>
      </w:r>
      <w:r w:rsidRPr="008B620A">
        <w:rPr>
          <w:color w:val="000000" w:themeColor="text1"/>
        </w:rPr>
        <w:t xml:space="preserve">Acculturation as varieties of adaptation. In: </w:t>
      </w:r>
      <w:r>
        <w:rPr>
          <w:color w:val="000000" w:themeColor="text1"/>
        </w:rPr>
        <w:t xml:space="preserve">A.M. </w:t>
      </w:r>
      <w:r w:rsidRPr="008B620A">
        <w:rPr>
          <w:color w:val="000000" w:themeColor="text1"/>
        </w:rPr>
        <w:t>Padilla</w:t>
      </w:r>
      <w:r>
        <w:rPr>
          <w:color w:val="000000" w:themeColor="text1"/>
        </w:rPr>
        <w:t xml:space="preserve"> (Eds.), </w:t>
      </w:r>
      <w:r w:rsidRPr="008B620A">
        <w:rPr>
          <w:i/>
          <w:iCs/>
          <w:color w:val="000000" w:themeColor="text1"/>
        </w:rPr>
        <w:t>Acculturation: Theory, models, and some new findings</w:t>
      </w:r>
      <w:r>
        <w:rPr>
          <w:i/>
          <w:iCs/>
          <w:color w:val="000000" w:themeColor="text1"/>
        </w:rPr>
        <w:t xml:space="preserve"> </w:t>
      </w:r>
      <w:r>
        <w:rPr>
          <w:color w:val="000000" w:themeColor="text1"/>
        </w:rPr>
        <w:t>(pp. 9-25)</w:t>
      </w:r>
      <w:r w:rsidRPr="008B620A">
        <w:rPr>
          <w:i/>
          <w:iCs/>
          <w:color w:val="000000" w:themeColor="text1"/>
        </w:rPr>
        <w:t>.</w:t>
      </w:r>
      <w:r w:rsidRPr="008B620A">
        <w:rPr>
          <w:color w:val="000000" w:themeColor="text1"/>
        </w:rPr>
        <w:t> Boulder, CO: Westview</w:t>
      </w:r>
      <w:r>
        <w:rPr>
          <w:color w:val="000000" w:themeColor="text1"/>
        </w:rPr>
        <w:t>.</w:t>
      </w:r>
    </w:p>
    <w:p w14:paraId="27EB5195" w14:textId="778E5A5F" w:rsidR="009965C7" w:rsidRDefault="009965C7" w:rsidP="008B620A">
      <w:pPr>
        <w:spacing w:line="480" w:lineRule="auto"/>
        <w:ind w:left="720" w:hanging="720"/>
        <w:rPr>
          <w:color w:val="000000" w:themeColor="text1"/>
        </w:rPr>
      </w:pPr>
      <w:r w:rsidRPr="009965C7">
        <w:rPr>
          <w:color w:val="000000" w:themeColor="text1"/>
        </w:rPr>
        <w:t>Berry, J. W. (1992). Acculturation and adaptation in a new society. </w:t>
      </w:r>
      <w:r w:rsidRPr="009965C7">
        <w:rPr>
          <w:i/>
          <w:iCs/>
          <w:color w:val="000000" w:themeColor="text1"/>
        </w:rPr>
        <w:t>International migration</w:t>
      </w:r>
      <w:r w:rsidRPr="009965C7">
        <w:rPr>
          <w:color w:val="000000" w:themeColor="text1"/>
        </w:rPr>
        <w:t>, </w:t>
      </w:r>
      <w:r w:rsidRPr="009965C7">
        <w:rPr>
          <w:i/>
          <w:iCs/>
          <w:color w:val="000000" w:themeColor="text1"/>
        </w:rPr>
        <w:t>30</w:t>
      </w:r>
      <w:r w:rsidRPr="009965C7">
        <w:rPr>
          <w:color w:val="000000" w:themeColor="text1"/>
        </w:rPr>
        <w:t>, 69-69.</w:t>
      </w:r>
    </w:p>
    <w:p w14:paraId="69E4A611" w14:textId="0DBFA447" w:rsidR="00850DC6" w:rsidRDefault="00850DC6" w:rsidP="00850DC6">
      <w:pPr>
        <w:spacing w:line="480" w:lineRule="auto"/>
        <w:ind w:left="720" w:hanging="720"/>
        <w:rPr>
          <w:color w:val="000000" w:themeColor="text1"/>
        </w:rPr>
      </w:pPr>
      <w:proofErr w:type="spellStart"/>
      <w:r w:rsidRPr="00850DC6">
        <w:rPr>
          <w:color w:val="000000" w:themeColor="text1"/>
          <w:lang w:val="en-US"/>
        </w:rPr>
        <w:lastRenderedPageBreak/>
        <w:t>Brudvik</w:t>
      </w:r>
      <w:proofErr w:type="spellEnd"/>
      <w:r>
        <w:rPr>
          <w:color w:val="000000" w:themeColor="text1"/>
          <w:lang w:val="en-US"/>
        </w:rPr>
        <w:t>,</w:t>
      </w:r>
      <w:r w:rsidRPr="00850DC6">
        <w:rPr>
          <w:color w:val="000000" w:themeColor="text1"/>
          <w:lang w:val="en-US"/>
        </w:rPr>
        <w:t xml:space="preserve"> C</w:t>
      </w:r>
      <w:r>
        <w:rPr>
          <w:color w:val="000000" w:themeColor="text1"/>
          <w:lang w:val="en-US"/>
        </w:rPr>
        <w:t>.</w:t>
      </w:r>
      <w:r w:rsidRPr="00850DC6">
        <w:rPr>
          <w:color w:val="000000" w:themeColor="text1"/>
          <w:lang w:val="en-US"/>
        </w:rPr>
        <w:t xml:space="preserve">, </w:t>
      </w:r>
      <w:proofErr w:type="spellStart"/>
      <w:r w:rsidRPr="00850DC6">
        <w:rPr>
          <w:color w:val="000000" w:themeColor="text1"/>
          <w:lang w:val="en-US"/>
        </w:rPr>
        <w:t>Mouette</w:t>
      </w:r>
      <w:proofErr w:type="spellEnd"/>
      <w:r>
        <w:rPr>
          <w:color w:val="000000" w:themeColor="text1"/>
          <w:lang w:val="en-US"/>
        </w:rPr>
        <w:t>,</w:t>
      </w:r>
      <w:r w:rsidRPr="00850DC6">
        <w:rPr>
          <w:color w:val="000000" w:themeColor="text1"/>
          <w:lang w:val="en-US"/>
        </w:rPr>
        <w:t xml:space="preserve"> S-V</w:t>
      </w:r>
      <w:r>
        <w:rPr>
          <w:color w:val="000000" w:themeColor="text1"/>
          <w:lang w:val="en-US"/>
        </w:rPr>
        <w:t>.</w:t>
      </w:r>
      <w:r w:rsidRPr="00850DC6">
        <w:rPr>
          <w:color w:val="000000" w:themeColor="text1"/>
          <w:lang w:val="en-US"/>
        </w:rPr>
        <w:t>, Baste</w:t>
      </w:r>
      <w:r>
        <w:rPr>
          <w:color w:val="000000" w:themeColor="text1"/>
          <w:lang w:val="en-US"/>
        </w:rPr>
        <w:t>,</w:t>
      </w:r>
      <w:r w:rsidRPr="00850DC6">
        <w:rPr>
          <w:color w:val="000000" w:themeColor="text1"/>
          <w:lang w:val="en-US"/>
        </w:rPr>
        <w:t xml:space="preserve"> V.</w:t>
      </w:r>
      <w:r>
        <w:rPr>
          <w:color w:val="000000" w:themeColor="text1"/>
          <w:lang w:val="en-US"/>
        </w:rPr>
        <w:t>, &amp;</w:t>
      </w:r>
      <w:r w:rsidRPr="00850DC6">
        <w:rPr>
          <w:color w:val="000000" w:themeColor="text1"/>
          <w:lang w:val="en-US"/>
        </w:rPr>
        <w:t xml:space="preserve"> </w:t>
      </w:r>
      <w:proofErr w:type="spellStart"/>
      <w:r w:rsidRPr="00850DC6">
        <w:rPr>
          <w:color w:val="000000" w:themeColor="text1"/>
          <w:lang w:val="en-US"/>
        </w:rPr>
        <w:t>Morken</w:t>
      </w:r>
      <w:proofErr w:type="spellEnd"/>
      <w:r>
        <w:rPr>
          <w:color w:val="000000" w:themeColor="text1"/>
          <w:lang w:val="en-US"/>
        </w:rPr>
        <w:t>,</w:t>
      </w:r>
      <w:r w:rsidRPr="00850DC6">
        <w:rPr>
          <w:color w:val="000000" w:themeColor="text1"/>
          <w:lang w:val="en-US"/>
        </w:rPr>
        <w:t xml:space="preserve"> T. </w:t>
      </w:r>
      <w:r>
        <w:rPr>
          <w:color w:val="000000" w:themeColor="text1"/>
          <w:lang w:val="en-US"/>
        </w:rPr>
        <w:t xml:space="preserve">(2017). </w:t>
      </w:r>
      <w:r w:rsidRPr="00850DC6">
        <w:rPr>
          <w:color w:val="000000" w:themeColor="text1"/>
          <w:lang w:val="en-US"/>
        </w:rPr>
        <w:t>A comparison of pain assessment by</w:t>
      </w:r>
      <w:r>
        <w:rPr>
          <w:color w:val="000000" w:themeColor="text1"/>
          <w:lang w:val="en-US"/>
        </w:rPr>
        <w:t xml:space="preserve"> </w:t>
      </w:r>
      <w:r w:rsidRPr="00850DC6">
        <w:rPr>
          <w:color w:val="000000" w:themeColor="text1"/>
          <w:lang w:val="en-US"/>
        </w:rPr>
        <w:t xml:space="preserve">physician’s, </w:t>
      </w:r>
      <w:proofErr w:type="gramStart"/>
      <w:r w:rsidRPr="00850DC6">
        <w:rPr>
          <w:color w:val="000000" w:themeColor="text1"/>
          <w:lang w:val="en-US"/>
        </w:rPr>
        <w:t>parent’s</w:t>
      </w:r>
      <w:proofErr w:type="gramEnd"/>
      <w:r w:rsidRPr="00850DC6">
        <w:rPr>
          <w:color w:val="000000" w:themeColor="text1"/>
          <w:lang w:val="en-US"/>
        </w:rPr>
        <w:t xml:space="preserve">, and children in an outpatient setting. </w:t>
      </w:r>
      <w:r w:rsidRPr="00727C3D">
        <w:rPr>
          <w:i/>
          <w:iCs/>
          <w:color w:val="000000" w:themeColor="text1"/>
          <w:lang w:val="en-US"/>
        </w:rPr>
        <w:t>Emergency Medicine Journal, 34</w:t>
      </w:r>
      <w:r>
        <w:rPr>
          <w:color w:val="000000" w:themeColor="text1"/>
          <w:lang w:val="en-US"/>
        </w:rPr>
        <w:t xml:space="preserve">(3), </w:t>
      </w:r>
      <w:r w:rsidRPr="00850DC6">
        <w:rPr>
          <w:color w:val="000000" w:themeColor="text1"/>
          <w:lang w:val="en-US"/>
        </w:rPr>
        <w:t>138-144.</w:t>
      </w:r>
      <w:r>
        <w:rPr>
          <w:color w:val="000000" w:themeColor="text1"/>
          <w:lang w:val="en-US"/>
        </w:rPr>
        <w:t xml:space="preserve"> </w:t>
      </w:r>
      <w:hyperlink r:id="rId11" w:history="1">
        <w:r w:rsidR="00152529" w:rsidRPr="008E198F">
          <w:rPr>
            <w:rStyle w:val="Hyperlink"/>
          </w:rPr>
          <w:t>https://doi.org/10.1136/emermed-2016-205825</w:t>
        </w:r>
      </w:hyperlink>
    </w:p>
    <w:p w14:paraId="155153EF" w14:textId="4A51CF0C" w:rsidR="0026642F" w:rsidRPr="00727C3D" w:rsidRDefault="0026642F" w:rsidP="00850DC6">
      <w:pPr>
        <w:spacing w:line="480" w:lineRule="auto"/>
        <w:ind w:left="720" w:hanging="720"/>
        <w:rPr>
          <w:color w:val="000000" w:themeColor="text1"/>
          <w:lang w:val="en-US"/>
        </w:rPr>
      </w:pPr>
      <w:r w:rsidRPr="0026642F">
        <w:rPr>
          <w:color w:val="000000" w:themeColor="text1"/>
        </w:rPr>
        <w:t xml:space="preserve">Chou, Y. C., Yip, W. H., Chang, L. Y., &amp; Lin, C. H. (2012). Reducing </w:t>
      </w:r>
      <w:r>
        <w:rPr>
          <w:color w:val="000000" w:themeColor="text1"/>
        </w:rPr>
        <w:t>n</w:t>
      </w:r>
      <w:r w:rsidRPr="0026642F">
        <w:rPr>
          <w:color w:val="000000" w:themeColor="text1"/>
        </w:rPr>
        <w:t xml:space="preserve">eonatal </w:t>
      </w:r>
      <w:r>
        <w:rPr>
          <w:color w:val="000000" w:themeColor="text1"/>
        </w:rPr>
        <w:t>v</w:t>
      </w:r>
      <w:r w:rsidRPr="0026642F">
        <w:rPr>
          <w:color w:val="000000" w:themeColor="text1"/>
        </w:rPr>
        <w:t xml:space="preserve">accination </w:t>
      </w:r>
      <w:r>
        <w:rPr>
          <w:color w:val="000000" w:themeColor="text1"/>
        </w:rPr>
        <w:t>p</w:t>
      </w:r>
      <w:r w:rsidRPr="0026642F">
        <w:rPr>
          <w:color w:val="000000" w:themeColor="text1"/>
        </w:rPr>
        <w:t xml:space="preserve">ain: The </w:t>
      </w:r>
      <w:r>
        <w:rPr>
          <w:color w:val="000000" w:themeColor="text1"/>
        </w:rPr>
        <w:t>e</w:t>
      </w:r>
      <w:r w:rsidRPr="0026642F">
        <w:rPr>
          <w:color w:val="000000" w:themeColor="text1"/>
        </w:rPr>
        <w:t xml:space="preserve">ffectiveness of </w:t>
      </w:r>
      <w:r>
        <w:rPr>
          <w:color w:val="000000" w:themeColor="text1"/>
        </w:rPr>
        <w:t>b</w:t>
      </w:r>
      <w:r w:rsidRPr="0026642F">
        <w:rPr>
          <w:color w:val="000000" w:themeColor="text1"/>
        </w:rPr>
        <w:t xml:space="preserve">ehavioral </w:t>
      </w:r>
      <w:r>
        <w:rPr>
          <w:color w:val="000000" w:themeColor="text1"/>
        </w:rPr>
        <w:t>i</w:t>
      </w:r>
      <w:r w:rsidRPr="0026642F">
        <w:rPr>
          <w:color w:val="000000" w:themeColor="text1"/>
        </w:rPr>
        <w:t>nterventions. </w:t>
      </w:r>
      <w:r w:rsidRPr="0026642F">
        <w:rPr>
          <w:i/>
          <w:iCs/>
          <w:color w:val="000000" w:themeColor="text1"/>
        </w:rPr>
        <w:t>Journal of Nursing &amp; Healthcare Research</w:t>
      </w:r>
      <w:r w:rsidRPr="0026642F">
        <w:rPr>
          <w:color w:val="000000" w:themeColor="text1"/>
        </w:rPr>
        <w:t>, </w:t>
      </w:r>
      <w:r w:rsidRPr="0026642F">
        <w:rPr>
          <w:i/>
          <w:iCs/>
          <w:color w:val="000000" w:themeColor="text1"/>
        </w:rPr>
        <w:t>8</w:t>
      </w:r>
      <w:r w:rsidRPr="0026642F">
        <w:rPr>
          <w:color w:val="000000" w:themeColor="text1"/>
        </w:rPr>
        <w:t>(1).</w:t>
      </w:r>
    </w:p>
    <w:p w14:paraId="3F9CB9CB" w14:textId="37455537" w:rsidR="00BF15CC" w:rsidRPr="008B620A" w:rsidRDefault="00BF15CC" w:rsidP="008B620A">
      <w:pPr>
        <w:spacing w:line="480" w:lineRule="auto"/>
        <w:ind w:left="720" w:hanging="720"/>
        <w:rPr>
          <w:color w:val="000000" w:themeColor="text1"/>
        </w:rPr>
      </w:pPr>
      <w:r w:rsidRPr="00BF15CC">
        <w:rPr>
          <w:color w:val="000000" w:themeColor="text1"/>
        </w:rPr>
        <w:t xml:space="preserve">Conger, K. J., </w:t>
      </w:r>
      <w:proofErr w:type="spellStart"/>
      <w:r w:rsidRPr="00BF15CC">
        <w:rPr>
          <w:color w:val="000000" w:themeColor="text1"/>
        </w:rPr>
        <w:t>Rueter</w:t>
      </w:r>
      <w:proofErr w:type="spellEnd"/>
      <w:r w:rsidRPr="00BF15CC">
        <w:rPr>
          <w:color w:val="000000" w:themeColor="text1"/>
        </w:rPr>
        <w:t xml:space="preserve">, M. A., &amp; Conger, R. D. (2000). The role of economic pressure in the lives of parents and their adolescents: The family stress model. In L. Crockett &amp; R. </w:t>
      </w:r>
      <w:proofErr w:type="spellStart"/>
      <w:r w:rsidRPr="00BF15CC">
        <w:rPr>
          <w:color w:val="000000" w:themeColor="text1"/>
        </w:rPr>
        <w:t>Silbereisen</w:t>
      </w:r>
      <w:proofErr w:type="spellEnd"/>
      <w:r w:rsidRPr="00BF15CC">
        <w:rPr>
          <w:color w:val="000000" w:themeColor="text1"/>
        </w:rPr>
        <w:t xml:space="preserve"> (Eds.), Negotiating adolescence in times of social change (pp. 201–233). Cambridge University Press</w:t>
      </w:r>
    </w:p>
    <w:p w14:paraId="0055EC4C" w14:textId="616362AE" w:rsidR="00816E11" w:rsidRDefault="000F0928" w:rsidP="00816E11">
      <w:pPr>
        <w:spacing w:line="480" w:lineRule="auto"/>
        <w:ind w:left="720" w:hanging="720"/>
      </w:pPr>
      <w:proofErr w:type="spellStart"/>
      <w:r>
        <w:t>Derogatis</w:t>
      </w:r>
      <w:proofErr w:type="spellEnd"/>
      <w:r>
        <w:t xml:space="preserve">, L. R. (1975). </w:t>
      </w:r>
      <w:r w:rsidRPr="00BD4C37">
        <w:rPr>
          <w:i/>
          <w:iCs/>
        </w:rPr>
        <w:t>Brief Symptom Inventory</w:t>
      </w:r>
      <w:r>
        <w:t xml:space="preserve">. Baltimore, MD: Clinical Psychometric Research. </w:t>
      </w:r>
    </w:p>
    <w:p w14:paraId="4889934E" w14:textId="366267B0" w:rsidR="00F65EE9" w:rsidRDefault="00F65EE9" w:rsidP="00816E11">
      <w:pPr>
        <w:spacing w:line="480" w:lineRule="auto"/>
        <w:ind w:left="720" w:hanging="720"/>
      </w:pPr>
      <w:r w:rsidRPr="00F65EE9">
        <w:t xml:space="preserve">Fitzgerald, M. </w:t>
      </w:r>
      <w:r>
        <w:t xml:space="preserve">(2005). </w:t>
      </w:r>
      <w:r w:rsidRPr="00F65EE9">
        <w:t>The development of nociceptive circuits. </w:t>
      </w:r>
      <w:r w:rsidRPr="00F65EE9">
        <w:rPr>
          <w:i/>
          <w:iCs/>
        </w:rPr>
        <w:t>Nat</w:t>
      </w:r>
      <w:r>
        <w:rPr>
          <w:i/>
          <w:iCs/>
        </w:rPr>
        <w:t>ure</w:t>
      </w:r>
      <w:r w:rsidRPr="00F65EE9">
        <w:rPr>
          <w:i/>
          <w:iCs/>
        </w:rPr>
        <w:t xml:space="preserve"> Rev</w:t>
      </w:r>
      <w:r>
        <w:rPr>
          <w:i/>
          <w:iCs/>
        </w:rPr>
        <w:t>iews</w:t>
      </w:r>
      <w:r w:rsidRPr="00F65EE9">
        <w:rPr>
          <w:i/>
          <w:iCs/>
        </w:rPr>
        <w:t xml:space="preserve"> Neurosci</w:t>
      </w:r>
      <w:r>
        <w:rPr>
          <w:i/>
          <w:iCs/>
        </w:rPr>
        <w:t>ence,</w:t>
      </w:r>
      <w:r w:rsidRPr="00F65EE9">
        <w:t> </w:t>
      </w:r>
      <w:r w:rsidRPr="00312675">
        <w:rPr>
          <w:i/>
          <w:iCs/>
        </w:rPr>
        <w:t>6</w:t>
      </w:r>
      <w:r w:rsidRPr="00F65EE9">
        <w:t>, 507–520</w:t>
      </w:r>
      <w:r>
        <w:t>.</w:t>
      </w:r>
      <w:r w:rsidRPr="00F65EE9">
        <w:t xml:space="preserve"> https://doi.org/10.1038/nrn1701</w:t>
      </w:r>
    </w:p>
    <w:p w14:paraId="3CCD9B5B" w14:textId="1FF6D6DE" w:rsidR="00A14E9F" w:rsidRDefault="00A14E9F" w:rsidP="00816E11">
      <w:pPr>
        <w:spacing w:line="480" w:lineRule="auto"/>
        <w:ind w:left="720" w:hanging="720"/>
      </w:pPr>
      <w:proofErr w:type="spellStart"/>
      <w:r w:rsidRPr="00A14E9F">
        <w:t>Fussner</w:t>
      </w:r>
      <w:proofErr w:type="spellEnd"/>
      <w:r w:rsidRPr="00A14E9F">
        <w:t xml:space="preserve">, L. M., </w:t>
      </w:r>
      <w:proofErr w:type="spellStart"/>
      <w:r w:rsidRPr="00A14E9F">
        <w:t>Schild</w:t>
      </w:r>
      <w:proofErr w:type="spellEnd"/>
      <w:r w:rsidRPr="00A14E9F">
        <w:t>, C., Holley, A. L., &amp; Wilson, A. C. (2018). Parent chronic pain and mental health symptoms impact responses to children's pain. </w:t>
      </w:r>
      <w:r w:rsidRPr="00A14E9F">
        <w:rPr>
          <w:i/>
          <w:iCs/>
        </w:rPr>
        <w:t xml:space="preserve">Canadian </w:t>
      </w:r>
      <w:r>
        <w:rPr>
          <w:i/>
          <w:iCs/>
        </w:rPr>
        <w:t>J</w:t>
      </w:r>
      <w:r w:rsidRPr="00A14E9F">
        <w:rPr>
          <w:i/>
          <w:iCs/>
        </w:rPr>
        <w:t xml:space="preserve">ournal of </w:t>
      </w:r>
      <w:r>
        <w:rPr>
          <w:i/>
          <w:iCs/>
        </w:rPr>
        <w:t>P</w:t>
      </w:r>
      <w:r w:rsidRPr="00A14E9F">
        <w:rPr>
          <w:i/>
          <w:iCs/>
        </w:rPr>
        <w:t>ain</w:t>
      </w:r>
      <w:r w:rsidRPr="00A14E9F">
        <w:t>, </w:t>
      </w:r>
      <w:r w:rsidRPr="00A14E9F">
        <w:rPr>
          <w:i/>
          <w:iCs/>
        </w:rPr>
        <w:t>2</w:t>
      </w:r>
      <w:r w:rsidRPr="00A14E9F">
        <w:t xml:space="preserve">(1), 258–265. </w:t>
      </w:r>
      <w:hyperlink r:id="rId12" w:history="1">
        <w:r w:rsidR="00312675" w:rsidRPr="003339CC">
          <w:rPr>
            <w:rStyle w:val="Hyperlink"/>
          </w:rPr>
          <w:t>https://doi.org/10.1080/24740527.2018.1518119</w:t>
        </w:r>
      </w:hyperlink>
    </w:p>
    <w:p w14:paraId="00B42496" w14:textId="7AA16568" w:rsidR="00312675" w:rsidRPr="00312675" w:rsidRDefault="00312675" w:rsidP="00816E11">
      <w:pPr>
        <w:spacing w:line="480" w:lineRule="auto"/>
        <w:ind w:left="720" w:hanging="720"/>
      </w:pPr>
      <w:proofErr w:type="spellStart"/>
      <w:r w:rsidRPr="00312675">
        <w:rPr>
          <w:color w:val="2A2A2A"/>
          <w:sz w:val="23"/>
          <w:szCs w:val="23"/>
          <w:shd w:val="clear" w:color="auto" w:fill="FFFFFF"/>
        </w:rPr>
        <w:t>Gennis</w:t>
      </w:r>
      <w:proofErr w:type="spellEnd"/>
      <w:r w:rsidRPr="00312675">
        <w:rPr>
          <w:color w:val="2A2A2A"/>
          <w:sz w:val="23"/>
          <w:szCs w:val="23"/>
          <w:shd w:val="clear" w:color="auto" w:fill="FFFFFF"/>
        </w:rPr>
        <w:t xml:space="preserve">, H., Pillai Riddell, R., O’Neil, M., Katz, J., </w:t>
      </w:r>
      <w:proofErr w:type="spellStart"/>
      <w:proofErr w:type="gramStart"/>
      <w:r w:rsidRPr="00312675">
        <w:rPr>
          <w:color w:val="2A2A2A"/>
          <w:sz w:val="23"/>
          <w:szCs w:val="23"/>
          <w:shd w:val="clear" w:color="auto" w:fill="FFFFFF"/>
        </w:rPr>
        <w:t>Taddio</w:t>
      </w:r>
      <w:proofErr w:type="spellEnd"/>
      <w:r w:rsidRPr="00312675">
        <w:rPr>
          <w:color w:val="2A2A2A"/>
          <w:sz w:val="23"/>
          <w:szCs w:val="23"/>
          <w:shd w:val="clear" w:color="auto" w:fill="FFFFFF"/>
        </w:rPr>
        <w:t>,.</w:t>
      </w:r>
      <w:proofErr w:type="gramEnd"/>
      <w:r w:rsidRPr="00312675">
        <w:rPr>
          <w:color w:val="2A2A2A"/>
          <w:sz w:val="23"/>
          <w:szCs w:val="23"/>
          <w:shd w:val="clear" w:color="auto" w:fill="FFFFFF"/>
        </w:rPr>
        <w:t xml:space="preserve"> A., Garfield, H., &amp; Greenberg, S. (2018).  Parental </w:t>
      </w:r>
      <w:r w:rsidR="007B2085">
        <w:rPr>
          <w:color w:val="2A2A2A"/>
          <w:sz w:val="23"/>
          <w:szCs w:val="23"/>
          <w:shd w:val="clear" w:color="auto" w:fill="FFFFFF"/>
        </w:rPr>
        <w:t>p</w:t>
      </w:r>
      <w:r w:rsidRPr="00312675">
        <w:rPr>
          <w:color w:val="2A2A2A"/>
          <w:sz w:val="23"/>
          <w:szCs w:val="23"/>
          <w:shd w:val="clear" w:color="auto" w:fill="FFFFFF"/>
        </w:rPr>
        <w:t xml:space="preserve">sychological </w:t>
      </w:r>
      <w:r w:rsidR="007B2085">
        <w:rPr>
          <w:color w:val="2A2A2A"/>
          <w:sz w:val="23"/>
          <w:szCs w:val="23"/>
          <w:shd w:val="clear" w:color="auto" w:fill="FFFFFF"/>
        </w:rPr>
        <w:t>d</w:t>
      </w:r>
      <w:r w:rsidRPr="00312675">
        <w:rPr>
          <w:color w:val="2A2A2A"/>
          <w:sz w:val="23"/>
          <w:szCs w:val="23"/>
          <w:shd w:val="clear" w:color="auto" w:fill="FFFFFF"/>
        </w:rPr>
        <w:t xml:space="preserve">istress </w:t>
      </w:r>
      <w:r w:rsidR="007B2085">
        <w:rPr>
          <w:color w:val="2A2A2A"/>
          <w:sz w:val="23"/>
          <w:szCs w:val="23"/>
          <w:shd w:val="clear" w:color="auto" w:fill="FFFFFF"/>
        </w:rPr>
        <w:t>m</w:t>
      </w:r>
      <w:r w:rsidRPr="00312675">
        <w:rPr>
          <w:color w:val="2A2A2A"/>
          <w:sz w:val="23"/>
          <w:szCs w:val="23"/>
          <w:shd w:val="clear" w:color="auto" w:fill="FFFFFF"/>
        </w:rPr>
        <w:t xml:space="preserve">oderates the </w:t>
      </w:r>
      <w:r w:rsidR="007B2085">
        <w:rPr>
          <w:color w:val="2A2A2A"/>
          <w:sz w:val="23"/>
          <w:szCs w:val="23"/>
          <w:shd w:val="clear" w:color="auto" w:fill="FFFFFF"/>
        </w:rPr>
        <w:t>i</w:t>
      </w:r>
      <w:r w:rsidRPr="00312675">
        <w:rPr>
          <w:color w:val="2A2A2A"/>
          <w:sz w:val="23"/>
          <w:szCs w:val="23"/>
          <w:shd w:val="clear" w:color="auto" w:fill="FFFFFF"/>
        </w:rPr>
        <w:t xml:space="preserve">mpact of a </w:t>
      </w:r>
      <w:r w:rsidR="007B2085">
        <w:rPr>
          <w:color w:val="2A2A2A"/>
          <w:sz w:val="23"/>
          <w:szCs w:val="23"/>
          <w:shd w:val="clear" w:color="auto" w:fill="FFFFFF"/>
        </w:rPr>
        <w:t>vi</w:t>
      </w:r>
      <w:r w:rsidRPr="00312675">
        <w:rPr>
          <w:color w:val="2A2A2A"/>
          <w:sz w:val="23"/>
          <w:szCs w:val="23"/>
          <w:shd w:val="clear" w:color="auto" w:fill="FFFFFF"/>
        </w:rPr>
        <w:t xml:space="preserve">deo </w:t>
      </w:r>
      <w:r w:rsidR="007B2085">
        <w:rPr>
          <w:color w:val="2A2A2A"/>
          <w:sz w:val="23"/>
          <w:szCs w:val="23"/>
          <w:shd w:val="clear" w:color="auto" w:fill="FFFFFF"/>
        </w:rPr>
        <w:t>i</w:t>
      </w:r>
      <w:r w:rsidRPr="00312675">
        <w:rPr>
          <w:color w:val="2A2A2A"/>
          <w:sz w:val="23"/>
          <w:szCs w:val="23"/>
          <w:shd w:val="clear" w:color="auto" w:fill="FFFFFF"/>
        </w:rPr>
        <w:t xml:space="preserve">ntervention to </w:t>
      </w:r>
      <w:r w:rsidR="007B2085">
        <w:rPr>
          <w:color w:val="2A2A2A"/>
          <w:sz w:val="23"/>
          <w:szCs w:val="23"/>
          <w:shd w:val="clear" w:color="auto" w:fill="FFFFFF"/>
        </w:rPr>
        <w:t>h</w:t>
      </w:r>
      <w:r w:rsidRPr="00312675">
        <w:rPr>
          <w:color w:val="2A2A2A"/>
          <w:sz w:val="23"/>
          <w:szCs w:val="23"/>
          <w:shd w:val="clear" w:color="auto" w:fill="FFFFFF"/>
        </w:rPr>
        <w:t xml:space="preserve">elp </w:t>
      </w:r>
      <w:r w:rsidR="007B2085">
        <w:rPr>
          <w:color w:val="2A2A2A"/>
          <w:sz w:val="23"/>
          <w:szCs w:val="23"/>
          <w:shd w:val="clear" w:color="auto" w:fill="FFFFFF"/>
        </w:rPr>
        <w:t>p</w:t>
      </w:r>
      <w:r w:rsidRPr="00312675">
        <w:rPr>
          <w:color w:val="2A2A2A"/>
          <w:sz w:val="23"/>
          <w:szCs w:val="23"/>
          <w:shd w:val="clear" w:color="auto" w:fill="FFFFFF"/>
        </w:rPr>
        <w:t xml:space="preserve">arents </w:t>
      </w:r>
      <w:r w:rsidR="007B2085">
        <w:rPr>
          <w:color w:val="2A2A2A"/>
          <w:sz w:val="23"/>
          <w:szCs w:val="23"/>
          <w:shd w:val="clear" w:color="auto" w:fill="FFFFFF"/>
        </w:rPr>
        <w:t>m</w:t>
      </w:r>
      <w:r w:rsidRPr="00312675">
        <w:rPr>
          <w:color w:val="2A2A2A"/>
          <w:sz w:val="23"/>
          <w:szCs w:val="23"/>
          <w:shd w:val="clear" w:color="auto" w:fill="FFFFFF"/>
        </w:rPr>
        <w:t xml:space="preserve">anage </w:t>
      </w:r>
      <w:r w:rsidR="007B2085">
        <w:rPr>
          <w:color w:val="2A2A2A"/>
          <w:sz w:val="23"/>
          <w:szCs w:val="23"/>
          <w:shd w:val="clear" w:color="auto" w:fill="FFFFFF"/>
        </w:rPr>
        <w:t>y</w:t>
      </w:r>
      <w:r w:rsidRPr="00312675">
        <w:rPr>
          <w:color w:val="2A2A2A"/>
          <w:sz w:val="23"/>
          <w:szCs w:val="23"/>
          <w:shd w:val="clear" w:color="auto" w:fill="FFFFFF"/>
        </w:rPr>
        <w:t xml:space="preserve">oung </w:t>
      </w:r>
      <w:r w:rsidR="007B2085">
        <w:rPr>
          <w:color w:val="2A2A2A"/>
          <w:sz w:val="23"/>
          <w:szCs w:val="23"/>
          <w:shd w:val="clear" w:color="auto" w:fill="FFFFFF"/>
        </w:rPr>
        <w:t>c</w:t>
      </w:r>
      <w:r w:rsidRPr="00312675">
        <w:rPr>
          <w:color w:val="2A2A2A"/>
          <w:sz w:val="23"/>
          <w:szCs w:val="23"/>
          <w:shd w:val="clear" w:color="auto" w:fill="FFFFFF"/>
        </w:rPr>
        <w:t xml:space="preserve">hild </w:t>
      </w:r>
      <w:r w:rsidR="007B2085">
        <w:rPr>
          <w:color w:val="2A2A2A"/>
          <w:sz w:val="23"/>
          <w:szCs w:val="23"/>
          <w:shd w:val="clear" w:color="auto" w:fill="FFFFFF"/>
        </w:rPr>
        <w:t>v</w:t>
      </w:r>
      <w:r w:rsidRPr="00312675">
        <w:rPr>
          <w:color w:val="2A2A2A"/>
          <w:sz w:val="23"/>
          <w:szCs w:val="23"/>
          <w:shd w:val="clear" w:color="auto" w:fill="FFFFFF"/>
        </w:rPr>
        <w:t xml:space="preserve">accination </w:t>
      </w:r>
      <w:r w:rsidR="007B2085">
        <w:rPr>
          <w:color w:val="2A2A2A"/>
          <w:sz w:val="23"/>
          <w:szCs w:val="23"/>
          <w:shd w:val="clear" w:color="auto" w:fill="FFFFFF"/>
        </w:rPr>
        <w:t>p</w:t>
      </w:r>
      <w:r w:rsidRPr="00312675">
        <w:rPr>
          <w:color w:val="2A2A2A"/>
          <w:sz w:val="23"/>
          <w:szCs w:val="23"/>
          <w:shd w:val="clear" w:color="auto" w:fill="FFFFFF"/>
        </w:rPr>
        <w:t>ain, </w:t>
      </w:r>
      <w:r w:rsidRPr="00312675">
        <w:rPr>
          <w:rStyle w:val="Emphasis"/>
          <w:color w:val="2A2A2A"/>
          <w:sz w:val="23"/>
          <w:szCs w:val="23"/>
          <w:bdr w:val="none" w:sz="0" w:space="0" w:color="auto" w:frame="1"/>
          <w:shd w:val="clear" w:color="auto" w:fill="FFFFFF"/>
        </w:rPr>
        <w:t>Journal of Pediatric Psychology</w:t>
      </w:r>
      <w:r w:rsidRPr="00312675">
        <w:rPr>
          <w:color w:val="2A2A2A"/>
          <w:sz w:val="23"/>
          <w:szCs w:val="23"/>
          <w:shd w:val="clear" w:color="auto" w:fill="FFFFFF"/>
        </w:rPr>
        <w:t>, 43 (10)1170–1178, </w:t>
      </w:r>
      <w:hyperlink r:id="rId13" w:history="1">
        <w:r w:rsidRPr="00312675">
          <w:rPr>
            <w:rStyle w:val="Hyperlink"/>
            <w:color w:val="006FB7"/>
            <w:sz w:val="23"/>
            <w:szCs w:val="23"/>
            <w:bdr w:val="none" w:sz="0" w:space="0" w:color="auto" w:frame="1"/>
            <w:shd w:val="clear" w:color="auto" w:fill="FFFFFF"/>
          </w:rPr>
          <w:t>https://doi.org/10.1093/jpepsy/jsy058</w:t>
        </w:r>
      </w:hyperlink>
    </w:p>
    <w:p w14:paraId="4BF86FA8" w14:textId="6C95D07A" w:rsidR="00816E11" w:rsidRDefault="00816E11" w:rsidP="00816E11">
      <w:pPr>
        <w:spacing w:line="480" w:lineRule="auto"/>
        <w:ind w:left="720" w:hanging="720"/>
        <w:rPr>
          <w:rStyle w:val="Hyperlink"/>
        </w:rPr>
      </w:pPr>
      <w:r w:rsidRPr="002959DC">
        <w:t xml:space="preserve">Grunau, R., &amp; Craig, K. D. (1987). Pain expression in neonates: </w:t>
      </w:r>
      <w:r>
        <w:t>F</w:t>
      </w:r>
      <w:r w:rsidRPr="002959DC">
        <w:t>acial action and cry. </w:t>
      </w:r>
      <w:r w:rsidRPr="002959DC">
        <w:rPr>
          <w:i/>
          <w:iCs/>
        </w:rPr>
        <w:t>Pain</w:t>
      </w:r>
      <w:r w:rsidRPr="002959DC">
        <w:t>, </w:t>
      </w:r>
      <w:r w:rsidRPr="002959DC">
        <w:rPr>
          <w:i/>
          <w:iCs/>
        </w:rPr>
        <w:t>28</w:t>
      </w:r>
      <w:r w:rsidRPr="002959DC">
        <w:t xml:space="preserve">(3), 395–410. </w:t>
      </w:r>
      <w:hyperlink r:id="rId14" w:history="1">
        <w:r w:rsidRPr="002959DC">
          <w:rPr>
            <w:rStyle w:val="Hyperlink"/>
          </w:rPr>
          <w:t>https://doi.org/10.1016/0304-3959(87)90073-X</w:t>
        </w:r>
      </w:hyperlink>
    </w:p>
    <w:p w14:paraId="52617E54" w14:textId="4CD5F942" w:rsidR="00DD32ED" w:rsidRPr="00755A3A" w:rsidRDefault="00DD32ED" w:rsidP="00816E11">
      <w:pPr>
        <w:spacing w:line="480" w:lineRule="auto"/>
        <w:ind w:left="720" w:hanging="720"/>
        <w:rPr>
          <w:rStyle w:val="Hyperlink"/>
          <w:color w:val="000000" w:themeColor="text1"/>
          <w:u w:val="none"/>
        </w:rPr>
      </w:pPr>
      <w:r w:rsidRPr="00755A3A">
        <w:rPr>
          <w:color w:val="000000" w:themeColor="text1"/>
        </w:rPr>
        <w:lastRenderedPageBreak/>
        <w:t xml:space="preserve">Grunau, R. E., Whitfield, M. F., Petrie-Thomas, J., </w:t>
      </w:r>
      <w:proofErr w:type="spellStart"/>
      <w:r w:rsidRPr="00755A3A">
        <w:rPr>
          <w:color w:val="000000" w:themeColor="text1"/>
        </w:rPr>
        <w:t>Synnes</w:t>
      </w:r>
      <w:proofErr w:type="spellEnd"/>
      <w:r w:rsidRPr="00755A3A">
        <w:rPr>
          <w:color w:val="000000" w:themeColor="text1"/>
        </w:rPr>
        <w:t xml:space="preserve">, A. R., Cepeda, I. L., </w:t>
      </w:r>
      <w:proofErr w:type="spellStart"/>
      <w:r w:rsidRPr="00755A3A">
        <w:rPr>
          <w:color w:val="000000" w:themeColor="text1"/>
        </w:rPr>
        <w:t>Keidar</w:t>
      </w:r>
      <w:proofErr w:type="spellEnd"/>
      <w:r w:rsidRPr="00755A3A">
        <w:rPr>
          <w:color w:val="000000" w:themeColor="text1"/>
        </w:rPr>
        <w:t>, A., Rogers, M., Mackay, M., Hubber-Richard, P., &amp; Johannesen, D. (2009). Neonatal pain, parenting stress and interaction, in relation to cognitive and motor development at 8 and 18 months in preterm infants. </w:t>
      </w:r>
      <w:r w:rsidRPr="00755A3A">
        <w:rPr>
          <w:i/>
          <w:iCs/>
          <w:color w:val="000000" w:themeColor="text1"/>
        </w:rPr>
        <w:t>Pain</w:t>
      </w:r>
      <w:r w:rsidRPr="00755A3A">
        <w:rPr>
          <w:color w:val="000000" w:themeColor="text1"/>
        </w:rPr>
        <w:t>, </w:t>
      </w:r>
      <w:r w:rsidRPr="00755A3A">
        <w:rPr>
          <w:i/>
          <w:iCs/>
          <w:color w:val="000000" w:themeColor="text1"/>
        </w:rPr>
        <w:t>143</w:t>
      </w:r>
      <w:r w:rsidRPr="00755A3A">
        <w:rPr>
          <w:color w:val="000000" w:themeColor="text1"/>
        </w:rPr>
        <w:t>(1-2), 138–146. https://doi.org/10.1016/j.pain.2009.02.014</w:t>
      </w:r>
    </w:p>
    <w:p w14:paraId="25A0A6F7" w14:textId="7AB725A6" w:rsidR="00A337E2" w:rsidRPr="0067297A" w:rsidRDefault="00A337E2" w:rsidP="00816E11">
      <w:pPr>
        <w:spacing w:line="480" w:lineRule="auto"/>
        <w:ind w:left="720" w:hanging="720"/>
        <w:rPr>
          <w:rStyle w:val="Hyperlink"/>
          <w:color w:val="000000" w:themeColor="text1"/>
          <w:u w:val="none"/>
        </w:rPr>
      </w:pPr>
      <w:proofErr w:type="spellStart"/>
      <w:r w:rsidRPr="0067297A">
        <w:rPr>
          <w:color w:val="000000" w:themeColor="text1"/>
        </w:rPr>
        <w:t>Guinsburg</w:t>
      </w:r>
      <w:proofErr w:type="spellEnd"/>
      <w:r w:rsidRPr="0067297A">
        <w:rPr>
          <w:color w:val="000000" w:themeColor="text1"/>
        </w:rPr>
        <w:t xml:space="preserve">, R., de Araújo Peres, C., Branco de Almeida, M. F., de </w:t>
      </w:r>
      <w:proofErr w:type="spellStart"/>
      <w:r w:rsidRPr="0067297A">
        <w:rPr>
          <w:color w:val="000000" w:themeColor="text1"/>
        </w:rPr>
        <w:t>Cássia</w:t>
      </w:r>
      <w:proofErr w:type="spellEnd"/>
      <w:r w:rsidRPr="0067297A">
        <w:rPr>
          <w:color w:val="000000" w:themeColor="text1"/>
        </w:rPr>
        <w:t xml:space="preserve"> Xavier </w:t>
      </w:r>
      <w:proofErr w:type="spellStart"/>
      <w:r w:rsidRPr="0067297A">
        <w:rPr>
          <w:color w:val="000000" w:themeColor="text1"/>
        </w:rPr>
        <w:t>Balda</w:t>
      </w:r>
      <w:proofErr w:type="spellEnd"/>
      <w:r w:rsidRPr="0067297A">
        <w:rPr>
          <w:color w:val="000000" w:themeColor="text1"/>
        </w:rPr>
        <w:t xml:space="preserve">, R., </w:t>
      </w:r>
      <w:proofErr w:type="spellStart"/>
      <w:r w:rsidRPr="0067297A">
        <w:rPr>
          <w:color w:val="000000" w:themeColor="text1"/>
        </w:rPr>
        <w:t>Cássia</w:t>
      </w:r>
      <w:proofErr w:type="spellEnd"/>
      <w:r w:rsidRPr="0067297A">
        <w:rPr>
          <w:color w:val="000000" w:themeColor="text1"/>
        </w:rPr>
        <w:t xml:space="preserve"> </w:t>
      </w:r>
      <w:proofErr w:type="spellStart"/>
      <w:r w:rsidRPr="0067297A">
        <w:rPr>
          <w:color w:val="000000" w:themeColor="text1"/>
        </w:rPr>
        <w:t>Berenguel</w:t>
      </w:r>
      <w:proofErr w:type="spellEnd"/>
      <w:r w:rsidRPr="0067297A">
        <w:rPr>
          <w:color w:val="000000" w:themeColor="text1"/>
        </w:rPr>
        <w:t xml:space="preserve">, R., </w:t>
      </w:r>
      <w:proofErr w:type="spellStart"/>
      <w:r w:rsidRPr="0067297A">
        <w:rPr>
          <w:color w:val="000000" w:themeColor="text1"/>
        </w:rPr>
        <w:t>Tonelotto</w:t>
      </w:r>
      <w:proofErr w:type="spellEnd"/>
      <w:r w:rsidRPr="0067297A">
        <w:rPr>
          <w:color w:val="000000" w:themeColor="text1"/>
        </w:rPr>
        <w:t>, J., &amp; Kopelman, B. I. (2000). Differences in pain expression between male and female newborn infants. </w:t>
      </w:r>
      <w:r w:rsidRPr="0067297A">
        <w:rPr>
          <w:i/>
          <w:iCs/>
          <w:color w:val="000000" w:themeColor="text1"/>
        </w:rPr>
        <w:t>Pain</w:t>
      </w:r>
      <w:r w:rsidRPr="0067297A">
        <w:rPr>
          <w:color w:val="000000" w:themeColor="text1"/>
        </w:rPr>
        <w:t>, </w:t>
      </w:r>
      <w:r w:rsidRPr="0067297A">
        <w:rPr>
          <w:i/>
          <w:iCs/>
          <w:color w:val="000000" w:themeColor="text1"/>
        </w:rPr>
        <w:t>85</w:t>
      </w:r>
      <w:r w:rsidRPr="0067297A">
        <w:rPr>
          <w:color w:val="000000" w:themeColor="text1"/>
        </w:rPr>
        <w:t>(1-2), 127–133. https://doi.org/10.1016/s0304-3959(99)00258-4</w:t>
      </w:r>
    </w:p>
    <w:p w14:paraId="4B9E1652" w14:textId="67D36DF5" w:rsidR="006F09B7" w:rsidRPr="006F09B7" w:rsidRDefault="006F09B7" w:rsidP="00816E11">
      <w:pPr>
        <w:spacing w:line="480" w:lineRule="auto"/>
        <w:ind w:left="720" w:hanging="720"/>
        <w:rPr>
          <w:rStyle w:val="Hyperlink"/>
          <w:color w:val="000000" w:themeColor="text1"/>
          <w:u w:val="none"/>
        </w:rPr>
      </w:pPr>
      <w:r w:rsidRPr="006F09B7">
        <w:rPr>
          <w:color w:val="000000" w:themeColor="text1"/>
        </w:rPr>
        <w:t xml:space="preserve">Jacobsen, P. B., Manne, S. L., </w:t>
      </w:r>
      <w:proofErr w:type="spellStart"/>
      <w:r w:rsidRPr="006F09B7">
        <w:rPr>
          <w:color w:val="000000" w:themeColor="text1"/>
        </w:rPr>
        <w:t>Gorfinkle</w:t>
      </w:r>
      <w:proofErr w:type="spellEnd"/>
      <w:r w:rsidRPr="006F09B7">
        <w:rPr>
          <w:color w:val="000000" w:themeColor="text1"/>
        </w:rPr>
        <w:t xml:space="preserve">, K., &amp; Schorr, O. (1990). Analysis of child and parent behavior during painful medical procedures. </w:t>
      </w:r>
      <w:r w:rsidRPr="00727C3D">
        <w:rPr>
          <w:i/>
          <w:iCs/>
          <w:color w:val="000000" w:themeColor="text1"/>
        </w:rPr>
        <w:t>Health Psychology, 9</w:t>
      </w:r>
      <w:r w:rsidRPr="006F09B7">
        <w:rPr>
          <w:color w:val="000000" w:themeColor="text1"/>
        </w:rPr>
        <w:t>, 559–576.</w:t>
      </w:r>
    </w:p>
    <w:p w14:paraId="33876B35" w14:textId="3B31AE01" w:rsidR="00006E5E" w:rsidRDefault="00006E5E" w:rsidP="00816E11">
      <w:pPr>
        <w:spacing w:line="480" w:lineRule="auto"/>
        <w:ind w:left="720" w:hanging="720"/>
        <w:rPr>
          <w:color w:val="000000" w:themeColor="text1"/>
        </w:rPr>
      </w:pPr>
      <w:proofErr w:type="spellStart"/>
      <w:r w:rsidRPr="00006E5E">
        <w:rPr>
          <w:color w:val="000000" w:themeColor="text1"/>
        </w:rPr>
        <w:t>Kamper</w:t>
      </w:r>
      <w:proofErr w:type="spellEnd"/>
      <w:r w:rsidRPr="00006E5E">
        <w:rPr>
          <w:color w:val="000000" w:themeColor="text1"/>
        </w:rPr>
        <w:t xml:space="preserve">, S. J., Dissing, K. B., &amp; </w:t>
      </w:r>
      <w:proofErr w:type="spellStart"/>
      <w:r w:rsidRPr="00006E5E">
        <w:rPr>
          <w:color w:val="000000" w:themeColor="text1"/>
        </w:rPr>
        <w:t>Hestbaek</w:t>
      </w:r>
      <w:proofErr w:type="spellEnd"/>
      <w:r w:rsidRPr="00006E5E">
        <w:rPr>
          <w:color w:val="000000" w:themeColor="text1"/>
        </w:rPr>
        <w:t>, L. (2016). Whose pain is it anyway? Comparability of pain reports from children and their parents. </w:t>
      </w:r>
      <w:r w:rsidRPr="00006E5E">
        <w:rPr>
          <w:i/>
          <w:iCs/>
          <w:color w:val="000000" w:themeColor="text1"/>
        </w:rPr>
        <w:t xml:space="preserve">Chiropractic &amp; </w:t>
      </w:r>
      <w:r w:rsidR="00727C3D">
        <w:rPr>
          <w:i/>
          <w:iCs/>
          <w:color w:val="000000" w:themeColor="text1"/>
        </w:rPr>
        <w:t>M</w:t>
      </w:r>
      <w:r w:rsidRPr="00006E5E">
        <w:rPr>
          <w:i/>
          <w:iCs/>
          <w:color w:val="000000" w:themeColor="text1"/>
        </w:rPr>
        <w:t xml:space="preserve">anual </w:t>
      </w:r>
      <w:r w:rsidR="00727C3D">
        <w:rPr>
          <w:i/>
          <w:iCs/>
          <w:color w:val="000000" w:themeColor="text1"/>
        </w:rPr>
        <w:t>T</w:t>
      </w:r>
      <w:r w:rsidRPr="00006E5E">
        <w:rPr>
          <w:i/>
          <w:iCs/>
          <w:color w:val="000000" w:themeColor="text1"/>
        </w:rPr>
        <w:t>herapies</w:t>
      </w:r>
      <w:r w:rsidRPr="00006E5E">
        <w:rPr>
          <w:color w:val="000000" w:themeColor="text1"/>
        </w:rPr>
        <w:t>, </w:t>
      </w:r>
      <w:r w:rsidRPr="00006E5E">
        <w:rPr>
          <w:i/>
          <w:iCs/>
          <w:color w:val="000000" w:themeColor="text1"/>
        </w:rPr>
        <w:t>24</w:t>
      </w:r>
      <w:r w:rsidRPr="00006E5E">
        <w:rPr>
          <w:color w:val="000000" w:themeColor="text1"/>
        </w:rPr>
        <w:t xml:space="preserve">, 24. </w:t>
      </w:r>
      <w:hyperlink r:id="rId15" w:history="1">
        <w:r w:rsidR="003A618A" w:rsidRPr="003D2E51">
          <w:rPr>
            <w:rStyle w:val="Hyperlink"/>
          </w:rPr>
          <w:t>https://doi.org/10.1186/s12998-016-0104-0</w:t>
        </w:r>
      </w:hyperlink>
    </w:p>
    <w:p w14:paraId="643AC7AB" w14:textId="4E5B6CB0" w:rsidR="00D12782" w:rsidRDefault="000B37E4" w:rsidP="00D12782">
      <w:pPr>
        <w:spacing w:line="480" w:lineRule="auto"/>
        <w:ind w:left="720" w:hanging="720"/>
      </w:pPr>
      <w:r w:rsidRPr="000B37E4">
        <w:t>Kelly, A. M., Powell, C. V., &amp; Williams, A. (2002). Parent visual analogue scale ratings of children's pain do not reliably reflect pain reported by child. </w:t>
      </w:r>
      <w:r w:rsidRPr="000B37E4">
        <w:rPr>
          <w:i/>
          <w:iCs/>
        </w:rPr>
        <w:t xml:space="preserve">Pediatric </w:t>
      </w:r>
      <w:r w:rsidR="00727C3D">
        <w:rPr>
          <w:i/>
          <w:iCs/>
        </w:rPr>
        <w:t>E</w:t>
      </w:r>
      <w:r w:rsidRPr="000B37E4">
        <w:rPr>
          <w:i/>
          <w:iCs/>
        </w:rPr>
        <w:t xml:space="preserve">mergency </w:t>
      </w:r>
      <w:r w:rsidR="00727C3D">
        <w:rPr>
          <w:i/>
          <w:iCs/>
        </w:rPr>
        <w:t>C</w:t>
      </w:r>
      <w:r w:rsidRPr="000B37E4">
        <w:rPr>
          <w:i/>
          <w:iCs/>
        </w:rPr>
        <w:t>are</w:t>
      </w:r>
      <w:r w:rsidRPr="000B37E4">
        <w:t>, </w:t>
      </w:r>
      <w:r w:rsidRPr="000B37E4">
        <w:rPr>
          <w:i/>
          <w:iCs/>
        </w:rPr>
        <w:t>18</w:t>
      </w:r>
      <w:r w:rsidRPr="000B37E4">
        <w:t xml:space="preserve">(3), 159–162. </w:t>
      </w:r>
      <w:hyperlink r:id="rId16" w:history="1">
        <w:r w:rsidR="00D12782" w:rsidRPr="003D2E51">
          <w:rPr>
            <w:rStyle w:val="Hyperlink"/>
          </w:rPr>
          <w:t>https://doi.org/10.1097/00006565-200206000-00002</w:t>
        </w:r>
      </w:hyperlink>
    </w:p>
    <w:p w14:paraId="148F17F0" w14:textId="7EB0C831" w:rsidR="00D12782" w:rsidRDefault="00D12782" w:rsidP="00816E11">
      <w:pPr>
        <w:spacing w:line="480" w:lineRule="auto"/>
        <w:ind w:left="720" w:hanging="720"/>
      </w:pPr>
      <w:proofErr w:type="spellStart"/>
      <w:r w:rsidRPr="00D12782">
        <w:t>Kotchick</w:t>
      </w:r>
      <w:proofErr w:type="spellEnd"/>
      <w:r w:rsidRPr="00D12782">
        <w:t>, B.A.,</w:t>
      </w:r>
      <w:r>
        <w:t xml:space="preserve"> &amp;</w:t>
      </w:r>
      <w:r w:rsidRPr="00D12782">
        <w:t xml:space="preserve"> Forehand, R. </w:t>
      </w:r>
      <w:r>
        <w:t xml:space="preserve">(2002). </w:t>
      </w:r>
      <w:r w:rsidRPr="00D12782">
        <w:t xml:space="preserve">Putting </w:t>
      </w:r>
      <w:r>
        <w:t>p</w:t>
      </w:r>
      <w:r w:rsidRPr="00D12782">
        <w:t xml:space="preserve">arenting in </w:t>
      </w:r>
      <w:r>
        <w:t>p</w:t>
      </w:r>
      <w:r w:rsidRPr="00D12782">
        <w:t xml:space="preserve">erspective: A </w:t>
      </w:r>
      <w:r>
        <w:t>d</w:t>
      </w:r>
      <w:r w:rsidRPr="00D12782">
        <w:t xml:space="preserve">iscussion of the </w:t>
      </w:r>
      <w:r>
        <w:t>c</w:t>
      </w:r>
      <w:r w:rsidRPr="00D12782">
        <w:t xml:space="preserve">ontextual </w:t>
      </w:r>
      <w:r>
        <w:t>f</w:t>
      </w:r>
      <w:r w:rsidRPr="00D12782">
        <w:t xml:space="preserve">actors </w:t>
      </w:r>
      <w:r>
        <w:t>t</w:t>
      </w:r>
      <w:r w:rsidRPr="00D12782">
        <w:t xml:space="preserve">hat </w:t>
      </w:r>
      <w:r>
        <w:t>s</w:t>
      </w:r>
      <w:r w:rsidRPr="00D12782">
        <w:t xml:space="preserve">hape </w:t>
      </w:r>
      <w:r>
        <w:t>p</w:t>
      </w:r>
      <w:r w:rsidRPr="00D12782">
        <w:t xml:space="preserve">arenting </w:t>
      </w:r>
      <w:r>
        <w:t>p</w:t>
      </w:r>
      <w:r w:rsidRPr="00D12782">
        <w:t>ractices. </w:t>
      </w:r>
      <w:r w:rsidRPr="00D12782">
        <w:rPr>
          <w:i/>
          <w:iCs/>
        </w:rPr>
        <w:t>Journal of Child and Family Studies</w:t>
      </w:r>
      <w:r>
        <w:rPr>
          <w:i/>
          <w:iCs/>
        </w:rPr>
        <w:t>,</w:t>
      </w:r>
      <w:r w:rsidRPr="00D12782">
        <w:t> </w:t>
      </w:r>
      <w:r w:rsidRPr="00D12782">
        <w:rPr>
          <w:i/>
          <w:iCs/>
        </w:rPr>
        <w:t>11</w:t>
      </w:r>
      <w:r w:rsidRPr="00D12782">
        <w:t>, 255–269</w:t>
      </w:r>
      <w:r>
        <w:t xml:space="preserve">. </w:t>
      </w:r>
      <w:r w:rsidRPr="00D12782">
        <w:t xml:space="preserve"> </w:t>
      </w:r>
      <w:hyperlink r:id="rId17" w:history="1">
        <w:r w:rsidR="00A337E2" w:rsidRPr="007765AB">
          <w:rPr>
            <w:rStyle w:val="Hyperlink"/>
          </w:rPr>
          <w:t>https://doi.org/10.1023/A:1016863921662</w:t>
        </w:r>
      </w:hyperlink>
    </w:p>
    <w:p w14:paraId="56C05553" w14:textId="63D12243" w:rsidR="00727C3D" w:rsidRDefault="00A337E2" w:rsidP="00816E11">
      <w:pPr>
        <w:spacing w:line="480" w:lineRule="auto"/>
        <w:ind w:left="720" w:hanging="720"/>
      </w:pPr>
      <w:r w:rsidRPr="00A337E2">
        <w:t>Lilley, C. M., Craig, K. D., &amp; Grunau, R. E. (1997). The expression of pain in infants and toddlers: developmental changes in facial action. </w:t>
      </w:r>
      <w:r w:rsidRPr="00A337E2">
        <w:rPr>
          <w:i/>
          <w:iCs/>
        </w:rPr>
        <w:t>Pain</w:t>
      </w:r>
      <w:r w:rsidRPr="00A337E2">
        <w:t>, </w:t>
      </w:r>
      <w:r w:rsidRPr="00A337E2">
        <w:rPr>
          <w:i/>
          <w:iCs/>
        </w:rPr>
        <w:t>72</w:t>
      </w:r>
      <w:r w:rsidRPr="00A337E2">
        <w:t xml:space="preserve">(1-2), 161–170. </w:t>
      </w:r>
      <w:hyperlink r:id="rId18" w:history="1">
        <w:r w:rsidR="00727C3D" w:rsidRPr="00FF25C6">
          <w:rPr>
            <w:rStyle w:val="Hyperlink"/>
          </w:rPr>
          <w:t>https://doi.org/10.1016/s0304-3959(97)00034-1</w:t>
        </w:r>
      </w:hyperlink>
    </w:p>
    <w:p w14:paraId="2FEAA926" w14:textId="77777777" w:rsidR="00166AE7" w:rsidRDefault="00167F15" w:rsidP="00727C3D">
      <w:pPr>
        <w:spacing w:line="480" w:lineRule="auto"/>
        <w:ind w:left="720" w:hanging="720"/>
        <w:contextualSpacing/>
      </w:pPr>
      <w:proofErr w:type="spellStart"/>
      <w:r w:rsidRPr="00167F15">
        <w:lastRenderedPageBreak/>
        <w:t>Mamedova</w:t>
      </w:r>
      <w:proofErr w:type="spellEnd"/>
      <w:r w:rsidRPr="00167F15">
        <w:t xml:space="preserve">, K., Pillai Riddell, R. R., DiLorenzo, M. G., Flora, D. B., Garfield, H., &amp; Greenberg, S. (2019). Parental </w:t>
      </w:r>
      <w:r>
        <w:t>r</w:t>
      </w:r>
      <w:r w:rsidRPr="00167F15">
        <w:t xml:space="preserve">eport of </w:t>
      </w:r>
      <w:r>
        <w:t>s</w:t>
      </w:r>
      <w:r w:rsidRPr="00167F15">
        <w:t xml:space="preserve">elf and </w:t>
      </w:r>
      <w:r>
        <w:t>c</w:t>
      </w:r>
      <w:r w:rsidRPr="00167F15">
        <w:t xml:space="preserve">hild </w:t>
      </w:r>
      <w:r>
        <w:t>w</w:t>
      </w:r>
      <w:r w:rsidRPr="00167F15">
        <w:t xml:space="preserve">orry </w:t>
      </w:r>
      <w:r>
        <w:t>d</w:t>
      </w:r>
      <w:r w:rsidRPr="00167F15">
        <w:t xml:space="preserve">uring </w:t>
      </w:r>
      <w:r>
        <w:t>a</w:t>
      </w:r>
      <w:r w:rsidRPr="00167F15">
        <w:t xml:space="preserve">cute </w:t>
      </w:r>
      <w:r>
        <w:t>p</w:t>
      </w:r>
      <w:r w:rsidRPr="00167F15">
        <w:t xml:space="preserve">ain: A </w:t>
      </w:r>
      <w:r>
        <w:t>c</w:t>
      </w:r>
      <w:r w:rsidRPr="00167F15">
        <w:t xml:space="preserve">ritical </w:t>
      </w:r>
      <w:r>
        <w:t>f</w:t>
      </w:r>
      <w:r w:rsidRPr="00167F15">
        <w:t xml:space="preserve">actor in </w:t>
      </w:r>
      <w:r>
        <w:t>d</w:t>
      </w:r>
      <w:r w:rsidRPr="00167F15">
        <w:t xml:space="preserve">etermining </w:t>
      </w:r>
      <w:r>
        <w:t>p</w:t>
      </w:r>
      <w:r w:rsidRPr="00167F15">
        <w:t xml:space="preserve">arental </w:t>
      </w:r>
      <w:r>
        <w:t>p</w:t>
      </w:r>
      <w:r w:rsidRPr="00167F15">
        <w:t xml:space="preserve">ain </w:t>
      </w:r>
      <w:r>
        <w:t>j</w:t>
      </w:r>
      <w:r w:rsidRPr="00167F15">
        <w:t>udgment. </w:t>
      </w:r>
      <w:r w:rsidRPr="00167F15">
        <w:rPr>
          <w:i/>
          <w:iCs/>
        </w:rPr>
        <w:t xml:space="preserve">The Clinical </w:t>
      </w:r>
      <w:r w:rsidR="00166AE7">
        <w:rPr>
          <w:i/>
          <w:iCs/>
        </w:rPr>
        <w:t>J</w:t>
      </w:r>
      <w:r w:rsidRPr="00167F15">
        <w:rPr>
          <w:i/>
          <w:iCs/>
        </w:rPr>
        <w:t xml:space="preserve">ournal of </w:t>
      </w:r>
      <w:r w:rsidR="00166AE7">
        <w:rPr>
          <w:i/>
          <w:iCs/>
        </w:rPr>
        <w:t>P</w:t>
      </w:r>
      <w:r w:rsidRPr="00167F15">
        <w:rPr>
          <w:i/>
          <w:iCs/>
        </w:rPr>
        <w:t>ain</w:t>
      </w:r>
      <w:r w:rsidRPr="00167F15">
        <w:t>, </w:t>
      </w:r>
      <w:r w:rsidRPr="00167F15">
        <w:rPr>
          <w:i/>
          <w:iCs/>
        </w:rPr>
        <w:t>35</w:t>
      </w:r>
      <w:r w:rsidRPr="00167F15">
        <w:t xml:space="preserve">(8), 696–702. </w:t>
      </w:r>
      <w:hyperlink r:id="rId19" w:history="1">
        <w:r w:rsidR="00166AE7" w:rsidRPr="00E53DBB">
          <w:rPr>
            <w:rStyle w:val="Hyperlink"/>
          </w:rPr>
          <w:t>https://doi.org/10.1097/AJP.0000000000000731</w:t>
        </w:r>
      </w:hyperlink>
      <w:r w:rsidR="00166AE7">
        <w:t xml:space="preserve"> </w:t>
      </w:r>
    </w:p>
    <w:p w14:paraId="47EA531A" w14:textId="59E17BB9" w:rsidR="00166AE7" w:rsidRDefault="00437658" w:rsidP="00166AE7">
      <w:pPr>
        <w:pStyle w:val="NormalWeb"/>
        <w:spacing w:line="480" w:lineRule="auto"/>
        <w:ind w:left="720" w:hanging="720"/>
        <w:contextualSpacing/>
        <w:rPr>
          <w:rStyle w:val="Hyperlink"/>
        </w:rPr>
      </w:pPr>
      <w:r>
        <w:t>Merkel, S., Voepel-Lewis, T., &amp; Malviya, S. (2002).  Pain assessment in infants and young children: The FLACC scale</w:t>
      </w:r>
      <w:r w:rsidR="00166AE7">
        <w:t xml:space="preserve">. </w:t>
      </w:r>
      <w:r w:rsidRPr="00437658">
        <w:rPr>
          <w:i/>
          <w:iCs/>
        </w:rPr>
        <w:t>American Journal of Nursing,</w:t>
      </w:r>
      <w:r>
        <w:rPr>
          <w:i/>
          <w:iCs/>
        </w:rPr>
        <w:t xml:space="preserve"> </w:t>
      </w:r>
      <w:r w:rsidRPr="00437658">
        <w:rPr>
          <w:i/>
          <w:iCs/>
        </w:rPr>
        <w:t>102</w:t>
      </w:r>
      <w:r w:rsidR="00166AE7">
        <w:t>(10)</w:t>
      </w:r>
      <w:r>
        <w:t>, 55–8.</w:t>
      </w:r>
      <w:r w:rsidR="00166AE7">
        <w:t xml:space="preserve"> </w:t>
      </w:r>
      <w:hyperlink r:id="rId20" w:tgtFrame="_blank" w:history="1">
        <w:r w:rsidR="00166AE7" w:rsidRPr="00166AE7">
          <w:rPr>
            <w:rStyle w:val="Hyperlink"/>
          </w:rPr>
          <w:t>10.1097/00000446-200210000-00024</w:t>
        </w:r>
      </w:hyperlink>
    </w:p>
    <w:p w14:paraId="248E1B52" w14:textId="00F73E87" w:rsidR="00BF15CC" w:rsidRPr="0067297A" w:rsidRDefault="00BF15CC" w:rsidP="00166AE7">
      <w:pPr>
        <w:pStyle w:val="NormalWeb"/>
        <w:spacing w:line="480" w:lineRule="auto"/>
        <w:ind w:left="720" w:hanging="720"/>
        <w:contextualSpacing/>
        <w:rPr>
          <w:color w:val="000000" w:themeColor="text1"/>
        </w:rPr>
      </w:pPr>
      <w:r w:rsidRPr="0067297A">
        <w:rPr>
          <w:color w:val="000000" w:themeColor="text1"/>
        </w:rPr>
        <w:t xml:space="preserve">Miller, M., &amp; </w:t>
      </w:r>
      <w:proofErr w:type="spellStart"/>
      <w:r w:rsidRPr="0067297A">
        <w:rPr>
          <w:color w:val="000000" w:themeColor="text1"/>
        </w:rPr>
        <w:t>Csizmadia</w:t>
      </w:r>
      <w:proofErr w:type="spellEnd"/>
      <w:r w:rsidRPr="0067297A">
        <w:rPr>
          <w:color w:val="000000" w:themeColor="text1"/>
        </w:rPr>
        <w:t>, A. (2022). Applying the family stress model to parental acculturative stress and Latinx youth adjustment: A review of the literature. </w:t>
      </w:r>
      <w:r w:rsidRPr="0067297A">
        <w:rPr>
          <w:i/>
          <w:iCs/>
          <w:color w:val="000000" w:themeColor="text1"/>
        </w:rPr>
        <w:t>Journal of Family Theory &amp; Review</w:t>
      </w:r>
      <w:r w:rsidRPr="0067297A">
        <w:rPr>
          <w:color w:val="000000" w:themeColor="text1"/>
        </w:rPr>
        <w:t>, </w:t>
      </w:r>
      <w:r w:rsidRPr="0067297A">
        <w:rPr>
          <w:i/>
          <w:iCs/>
          <w:color w:val="000000" w:themeColor="text1"/>
        </w:rPr>
        <w:t>14</w:t>
      </w:r>
      <w:r w:rsidRPr="0067297A">
        <w:rPr>
          <w:color w:val="000000" w:themeColor="text1"/>
        </w:rPr>
        <w:t xml:space="preserve">(2), 275–293. </w:t>
      </w:r>
      <w:hyperlink r:id="rId21" w:history="1">
        <w:r w:rsidR="005E7FCD" w:rsidRPr="0067297A">
          <w:rPr>
            <w:rStyle w:val="Hyperlink"/>
            <w:color w:val="000000" w:themeColor="text1"/>
            <w:u w:val="none"/>
          </w:rPr>
          <w:t>https://doi.org/10.1111/jftr.12448</w:t>
        </w:r>
      </w:hyperlink>
    </w:p>
    <w:p w14:paraId="2799D9F6" w14:textId="4D7A7F8E" w:rsidR="005E7FCD" w:rsidRPr="0067297A" w:rsidRDefault="005E7FCD" w:rsidP="00166AE7">
      <w:pPr>
        <w:pStyle w:val="NormalWeb"/>
        <w:spacing w:line="480" w:lineRule="auto"/>
        <w:ind w:left="720" w:hanging="720"/>
        <w:contextualSpacing/>
        <w:rPr>
          <w:rStyle w:val="Hyperlink"/>
          <w:color w:val="000000" w:themeColor="text1"/>
          <w:u w:val="none"/>
        </w:rPr>
      </w:pPr>
      <w:r w:rsidRPr="0067297A">
        <w:rPr>
          <w:color w:val="000000" w:themeColor="text1"/>
        </w:rPr>
        <w:t xml:space="preserve">Moon, E. C., Chambers, C. T., </w:t>
      </w:r>
      <w:proofErr w:type="spellStart"/>
      <w:r w:rsidRPr="0067297A">
        <w:rPr>
          <w:color w:val="000000" w:themeColor="text1"/>
        </w:rPr>
        <w:t>Larochette</w:t>
      </w:r>
      <w:proofErr w:type="spellEnd"/>
      <w:r w:rsidRPr="0067297A">
        <w:rPr>
          <w:color w:val="000000" w:themeColor="text1"/>
        </w:rPr>
        <w:t>, A. C., Hayton, K., Craig, K. D., &amp; McGrath, P. J. (2008). Sex differences in parent and child pain ratings during an experimental child pain task. </w:t>
      </w:r>
      <w:r w:rsidRPr="0067297A">
        <w:rPr>
          <w:i/>
          <w:iCs/>
          <w:color w:val="000000" w:themeColor="text1"/>
        </w:rPr>
        <w:t>Pain Research &amp; Management</w:t>
      </w:r>
      <w:r w:rsidRPr="0067297A">
        <w:rPr>
          <w:color w:val="000000" w:themeColor="text1"/>
        </w:rPr>
        <w:t>, </w:t>
      </w:r>
      <w:r w:rsidRPr="0067297A">
        <w:rPr>
          <w:i/>
          <w:iCs/>
          <w:color w:val="000000" w:themeColor="text1"/>
        </w:rPr>
        <w:t>13</w:t>
      </w:r>
      <w:r w:rsidRPr="0067297A">
        <w:rPr>
          <w:color w:val="000000" w:themeColor="text1"/>
        </w:rPr>
        <w:t>(3), 225–230. https://doi.org/10.1155/2008/457861</w:t>
      </w:r>
    </w:p>
    <w:p w14:paraId="3A544F16" w14:textId="66F825E7" w:rsidR="00196C52" w:rsidRDefault="00196C52" w:rsidP="00166AE7">
      <w:pPr>
        <w:pStyle w:val="NormalWeb"/>
        <w:spacing w:line="480" w:lineRule="auto"/>
        <w:ind w:left="720" w:hanging="720"/>
        <w:contextualSpacing/>
      </w:pPr>
      <w:r w:rsidRPr="00196C52">
        <w:t xml:space="preserve">O'Neill, M. C., Pillai Riddell, R., Garfield, H., &amp; Greenberg, S. (2016). Does </w:t>
      </w:r>
      <w:r w:rsidR="00727C3D" w:rsidRPr="00196C52">
        <w:t>caregiver behavior mediate the relationship between cultural individualism and infant pain at 12 months of age</w:t>
      </w:r>
      <w:r w:rsidRPr="00196C52">
        <w:t>? </w:t>
      </w:r>
      <w:r w:rsidRPr="00196C52">
        <w:rPr>
          <w:i/>
          <w:iCs/>
        </w:rPr>
        <w:t xml:space="preserve">The </w:t>
      </w:r>
      <w:r w:rsidR="00727C3D">
        <w:rPr>
          <w:i/>
          <w:iCs/>
        </w:rPr>
        <w:t>Journal</w:t>
      </w:r>
      <w:r w:rsidRPr="00196C52">
        <w:rPr>
          <w:i/>
          <w:iCs/>
        </w:rPr>
        <w:t xml:space="preserve"> of </w:t>
      </w:r>
      <w:r w:rsidR="00727C3D">
        <w:rPr>
          <w:i/>
          <w:iCs/>
        </w:rPr>
        <w:t>P</w:t>
      </w:r>
      <w:r w:rsidRPr="00196C52">
        <w:rPr>
          <w:i/>
          <w:iCs/>
        </w:rPr>
        <w:t>ain</w:t>
      </w:r>
      <w:r w:rsidRPr="00196C52">
        <w:t>, </w:t>
      </w:r>
      <w:r w:rsidRPr="00196C52">
        <w:rPr>
          <w:i/>
          <w:iCs/>
        </w:rPr>
        <w:t>17</w:t>
      </w:r>
      <w:r w:rsidRPr="00196C52">
        <w:t xml:space="preserve">(12), 1273–1280. </w:t>
      </w:r>
      <w:hyperlink r:id="rId22" w:history="1">
        <w:r w:rsidR="00BF15CC" w:rsidRPr="007765AB">
          <w:rPr>
            <w:rStyle w:val="Hyperlink"/>
          </w:rPr>
          <w:t>https://doi.org/10.1016/j.jpain.2016.08.008</w:t>
        </w:r>
      </w:hyperlink>
    </w:p>
    <w:p w14:paraId="70D98280" w14:textId="130E3D7C" w:rsidR="00BF15CC" w:rsidRDefault="00BF15CC" w:rsidP="00166AE7">
      <w:pPr>
        <w:pStyle w:val="NormalWeb"/>
        <w:spacing w:line="480" w:lineRule="auto"/>
        <w:ind w:left="720" w:hanging="720"/>
        <w:contextualSpacing/>
      </w:pPr>
      <w:proofErr w:type="spellStart"/>
      <w:r w:rsidRPr="00BF15CC">
        <w:t>Perreira</w:t>
      </w:r>
      <w:proofErr w:type="spellEnd"/>
      <w:r w:rsidRPr="00BF15CC">
        <w:t xml:space="preserve">, K. M., </w:t>
      </w:r>
      <w:proofErr w:type="spellStart"/>
      <w:r w:rsidRPr="00BF15CC">
        <w:t>Marchante</w:t>
      </w:r>
      <w:proofErr w:type="spellEnd"/>
      <w:r w:rsidRPr="00BF15CC">
        <w:t xml:space="preserve">, A. N., Schwartz, S. J., </w:t>
      </w:r>
      <w:proofErr w:type="spellStart"/>
      <w:r w:rsidRPr="00BF15CC">
        <w:t>Isasi</w:t>
      </w:r>
      <w:proofErr w:type="spellEnd"/>
      <w:r w:rsidRPr="00BF15CC">
        <w:t xml:space="preserve">, C. R., </w:t>
      </w:r>
      <w:proofErr w:type="spellStart"/>
      <w:r w:rsidRPr="00BF15CC">
        <w:t>Carnethon</w:t>
      </w:r>
      <w:proofErr w:type="spellEnd"/>
      <w:r w:rsidRPr="00BF15CC">
        <w:t xml:space="preserve">, M. R., Corliss, H. L., Kaplan, R. C., Santisteban, D. A., </w:t>
      </w:r>
      <w:proofErr w:type="spellStart"/>
      <w:r w:rsidRPr="00BF15CC">
        <w:t>Vidot</w:t>
      </w:r>
      <w:proofErr w:type="spellEnd"/>
      <w:r w:rsidRPr="00BF15CC">
        <w:t xml:space="preserve">, D. C., van Horn, L., &amp; Delamater, A. M. (2019). Stress and resilience: Key correlates of mental health and substance use in the Hispanic community health study of Latino youth. </w:t>
      </w:r>
      <w:r w:rsidRPr="00727C3D">
        <w:rPr>
          <w:i/>
          <w:iCs/>
        </w:rPr>
        <w:t>Journal of Immigrant and Minority Health, 21</w:t>
      </w:r>
      <w:r w:rsidRPr="00BF15CC">
        <w:t xml:space="preserve">(1), 4–13. </w:t>
      </w:r>
      <w:hyperlink r:id="rId23" w:history="1">
        <w:r w:rsidR="00A337E2" w:rsidRPr="007765AB">
          <w:rPr>
            <w:rStyle w:val="Hyperlink"/>
          </w:rPr>
          <w:t>https://doi.org/10.1007/s10903-018-0724-7</w:t>
        </w:r>
      </w:hyperlink>
    </w:p>
    <w:p w14:paraId="3A325705" w14:textId="49307658" w:rsidR="00A337E2" w:rsidRDefault="00A337E2" w:rsidP="00166AE7">
      <w:pPr>
        <w:pStyle w:val="NormalWeb"/>
        <w:spacing w:line="480" w:lineRule="auto"/>
        <w:ind w:left="720" w:hanging="720"/>
        <w:contextualSpacing/>
      </w:pPr>
      <w:r w:rsidRPr="00727C3D">
        <w:rPr>
          <w:lang w:val="fr-FR"/>
        </w:rPr>
        <w:lastRenderedPageBreak/>
        <w:t xml:space="preserve">Peters, J. W., </w:t>
      </w:r>
      <w:proofErr w:type="spellStart"/>
      <w:r w:rsidRPr="00727C3D">
        <w:rPr>
          <w:lang w:val="fr-FR"/>
        </w:rPr>
        <w:t>Koot</w:t>
      </w:r>
      <w:proofErr w:type="spellEnd"/>
      <w:r w:rsidRPr="00727C3D">
        <w:rPr>
          <w:lang w:val="fr-FR"/>
        </w:rPr>
        <w:t xml:space="preserve">, H. M., </w:t>
      </w:r>
      <w:proofErr w:type="spellStart"/>
      <w:r w:rsidRPr="00727C3D">
        <w:rPr>
          <w:lang w:val="fr-FR"/>
        </w:rPr>
        <w:t>Grunau</w:t>
      </w:r>
      <w:proofErr w:type="spellEnd"/>
      <w:r w:rsidRPr="00727C3D">
        <w:rPr>
          <w:lang w:val="fr-FR"/>
        </w:rPr>
        <w:t xml:space="preserve">, R. E., de Boer, J., van </w:t>
      </w:r>
      <w:proofErr w:type="spellStart"/>
      <w:r w:rsidRPr="00727C3D">
        <w:rPr>
          <w:lang w:val="fr-FR"/>
        </w:rPr>
        <w:t>Druenen</w:t>
      </w:r>
      <w:proofErr w:type="spellEnd"/>
      <w:r w:rsidRPr="00727C3D">
        <w:rPr>
          <w:lang w:val="fr-FR"/>
        </w:rPr>
        <w:t xml:space="preserve">, M. J., </w:t>
      </w:r>
      <w:proofErr w:type="spellStart"/>
      <w:r w:rsidRPr="00727C3D">
        <w:rPr>
          <w:lang w:val="fr-FR"/>
        </w:rPr>
        <w:t>Tibboel</w:t>
      </w:r>
      <w:proofErr w:type="spellEnd"/>
      <w:r w:rsidRPr="00727C3D">
        <w:rPr>
          <w:lang w:val="fr-FR"/>
        </w:rPr>
        <w:t xml:space="preserve">, D., &amp; </w:t>
      </w:r>
      <w:proofErr w:type="spellStart"/>
      <w:r w:rsidRPr="00727C3D">
        <w:rPr>
          <w:lang w:val="fr-FR"/>
        </w:rPr>
        <w:t>Duivenvoorden</w:t>
      </w:r>
      <w:proofErr w:type="spellEnd"/>
      <w:r w:rsidRPr="00727C3D">
        <w:rPr>
          <w:lang w:val="fr-FR"/>
        </w:rPr>
        <w:t xml:space="preserve">, H. J. (2003). </w:t>
      </w:r>
      <w:r w:rsidRPr="00A337E2">
        <w:t xml:space="preserve">Neonatal Facial Coding System for assessing postoperative pain in infants: </w:t>
      </w:r>
      <w:r w:rsidR="00727C3D">
        <w:t>I</w:t>
      </w:r>
      <w:r w:rsidRPr="00A337E2">
        <w:t>tem reduction is valid and feasible. </w:t>
      </w:r>
      <w:r w:rsidRPr="00A337E2">
        <w:rPr>
          <w:i/>
          <w:iCs/>
        </w:rPr>
        <w:t xml:space="preserve">The Clinical </w:t>
      </w:r>
      <w:r>
        <w:rPr>
          <w:i/>
          <w:iCs/>
        </w:rPr>
        <w:t>J</w:t>
      </w:r>
      <w:r w:rsidRPr="00A337E2">
        <w:rPr>
          <w:i/>
          <w:iCs/>
        </w:rPr>
        <w:t>ournal of</w:t>
      </w:r>
      <w:r>
        <w:rPr>
          <w:i/>
          <w:iCs/>
        </w:rPr>
        <w:t xml:space="preserve"> P</w:t>
      </w:r>
      <w:r w:rsidRPr="00A337E2">
        <w:rPr>
          <w:i/>
          <w:iCs/>
        </w:rPr>
        <w:t>ain</w:t>
      </w:r>
      <w:r w:rsidRPr="00A337E2">
        <w:t>, </w:t>
      </w:r>
      <w:r w:rsidRPr="00A337E2">
        <w:rPr>
          <w:i/>
          <w:iCs/>
        </w:rPr>
        <w:t>19</w:t>
      </w:r>
      <w:r w:rsidRPr="00A337E2">
        <w:t xml:space="preserve">(6), 353–363. </w:t>
      </w:r>
      <w:hyperlink r:id="rId24" w:history="1">
        <w:r w:rsidR="00913E76" w:rsidRPr="00715C18">
          <w:rPr>
            <w:rStyle w:val="Hyperlink"/>
          </w:rPr>
          <w:t>https://doi.org/10.1097/00002508-200311000-00003</w:t>
        </w:r>
      </w:hyperlink>
    </w:p>
    <w:p w14:paraId="0ED5BE3D" w14:textId="1338171C" w:rsidR="00913E76" w:rsidRDefault="00913E76" w:rsidP="00166AE7">
      <w:pPr>
        <w:pStyle w:val="NormalWeb"/>
        <w:spacing w:line="480" w:lineRule="auto"/>
        <w:ind w:left="720" w:hanging="720"/>
        <w:contextualSpacing/>
      </w:pPr>
      <w:r w:rsidRPr="00913E76">
        <w:t>Pillai Riddell</w:t>
      </w:r>
      <w:r>
        <w:t>,</w:t>
      </w:r>
      <w:r w:rsidRPr="00913E76">
        <w:t xml:space="preserve"> R</w:t>
      </w:r>
      <w:r>
        <w:t>.</w:t>
      </w:r>
      <w:r w:rsidRPr="00913E76">
        <w:t xml:space="preserve">, </w:t>
      </w:r>
      <w:proofErr w:type="spellStart"/>
      <w:r w:rsidRPr="00913E76">
        <w:t>Bucsea</w:t>
      </w:r>
      <w:proofErr w:type="spellEnd"/>
      <w:r>
        <w:t>,</w:t>
      </w:r>
      <w:r w:rsidRPr="00913E76">
        <w:t xml:space="preserve"> O</w:t>
      </w:r>
      <w:r>
        <w:t>.</w:t>
      </w:r>
      <w:r w:rsidRPr="00913E76">
        <w:t xml:space="preserve">, </w:t>
      </w:r>
      <w:proofErr w:type="spellStart"/>
      <w:r w:rsidRPr="00913E76">
        <w:t>Shiff</w:t>
      </w:r>
      <w:proofErr w:type="spellEnd"/>
      <w:r>
        <w:t>,</w:t>
      </w:r>
      <w:r w:rsidRPr="00913E76">
        <w:t xml:space="preserve"> I</w:t>
      </w:r>
      <w:r>
        <w:t>.</w:t>
      </w:r>
      <w:r w:rsidRPr="00913E76">
        <w:t>, Chow</w:t>
      </w:r>
      <w:r>
        <w:t>,</w:t>
      </w:r>
      <w:r w:rsidRPr="00913E76">
        <w:t xml:space="preserve"> C</w:t>
      </w:r>
      <w:r>
        <w:t>.</w:t>
      </w:r>
      <w:r w:rsidRPr="00913E76">
        <w:t xml:space="preserve">, </w:t>
      </w:r>
      <w:proofErr w:type="spellStart"/>
      <w:r w:rsidRPr="00913E76">
        <w:t>Gennis</w:t>
      </w:r>
      <w:proofErr w:type="spellEnd"/>
      <w:r>
        <w:t>,</w:t>
      </w:r>
      <w:r w:rsidRPr="00913E76">
        <w:t xml:space="preserve"> H</w:t>
      </w:r>
      <w:r>
        <w:t>.</w:t>
      </w:r>
      <w:r w:rsidRPr="00913E76">
        <w:t>G</w:t>
      </w:r>
      <w:r>
        <w:t>.,</w:t>
      </w:r>
      <w:r w:rsidRPr="00913E76">
        <w:t xml:space="preserve"> </w:t>
      </w:r>
      <w:proofErr w:type="spellStart"/>
      <w:r w:rsidRPr="00913E76">
        <w:t>Badovinac</w:t>
      </w:r>
      <w:proofErr w:type="spellEnd"/>
      <w:r>
        <w:t>,</w:t>
      </w:r>
      <w:r w:rsidRPr="00913E76">
        <w:t xml:space="preserve"> S</w:t>
      </w:r>
      <w:r>
        <w:t>.</w:t>
      </w:r>
      <w:r w:rsidRPr="00913E76">
        <w:t>, DiLorenzo-</w:t>
      </w:r>
      <w:proofErr w:type="spellStart"/>
      <w:r w:rsidRPr="00913E76">
        <w:t>Klas</w:t>
      </w:r>
      <w:proofErr w:type="spellEnd"/>
      <w:r>
        <w:t>,</w:t>
      </w:r>
      <w:r w:rsidRPr="00913E76">
        <w:t xml:space="preserve"> M</w:t>
      </w:r>
      <w:r>
        <w:t>.</w:t>
      </w:r>
      <w:r w:rsidRPr="00913E76">
        <w:t>, Racine</w:t>
      </w:r>
      <w:r>
        <w:t>,</w:t>
      </w:r>
      <w:r w:rsidRPr="00913E76">
        <w:t xml:space="preserve"> N</w:t>
      </w:r>
      <w:r>
        <w:t>.</w:t>
      </w:r>
      <w:r w:rsidRPr="00913E76">
        <w:t>M</w:t>
      </w:r>
      <w:r>
        <w:t>.</w:t>
      </w:r>
      <w:r w:rsidRPr="00913E76">
        <w:t xml:space="preserve">, </w:t>
      </w:r>
      <w:proofErr w:type="spellStart"/>
      <w:r w:rsidRPr="00913E76">
        <w:t>Ahola</w:t>
      </w:r>
      <w:proofErr w:type="spellEnd"/>
      <w:r w:rsidRPr="00913E76">
        <w:t xml:space="preserve"> Kohut</w:t>
      </w:r>
      <w:r>
        <w:t>,</w:t>
      </w:r>
      <w:r w:rsidRPr="00913E76">
        <w:t xml:space="preserve"> S</w:t>
      </w:r>
      <w:r>
        <w:t>.</w:t>
      </w:r>
      <w:r w:rsidRPr="00913E76">
        <w:t xml:space="preserve">, </w:t>
      </w:r>
      <w:proofErr w:type="spellStart"/>
      <w:r w:rsidRPr="00913E76">
        <w:t>Lisi</w:t>
      </w:r>
      <w:proofErr w:type="spellEnd"/>
      <w:r>
        <w:t>,</w:t>
      </w:r>
      <w:r w:rsidRPr="00913E76">
        <w:t xml:space="preserve"> D</w:t>
      </w:r>
      <w:r>
        <w:t>.</w:t>
      </w:r>
      <w:r w:rsidRPr="00913E76">
        <w:t>, Turcotte</w:t>
      </w:r>
      <w:r>
        <w:t>,</w:t>
      </w:r>
      <w:r w:rsidRPr="00913E76">
        <w:t xml:space="preserve"> K</w:t>
      </w:r>
      <w:r>
        <w:t>.</w:t>
      </w:r>
      <w:r w:rsidRPr="00913E76">
        <w:t>, Stevens</w:t>
      </w:r>
      <w:r>
        <w:t>,</w:t>
      </w:r>
      <w:r w:rsidRPr="00913E76">
        <w:t xml:space="preserve"> B</w:t>
      </w:r>
      <w:r>
        <w:t>.</w:t>
      </w:r>
      <w:r w:rsidRPr="00913E76">
        <w:t>,</w:t>
      </w:r>
      <w:r>
        <w:t xml:space="preserve"> &amp;</w:t>
      </w:r>
      <w:r w:rsidRPr="00913E76">
        <w:t xml:space="preserve"> </w:t>
      </w:r>
      <w:proofErr w:type="spellStart"/>
      <w:r w:rsidRPr="00913E76">
        <w:t>Uman</w:t>
      </w:r>
      <w:proofErr w:type="spellEnd"/>
      <w:r>
        <w:t>,</w:t>
      </w:r>
      <w:r w:rsidRPr="00913E76">
        <w:t xml:space="preserve"> L</w:t>
      </w:r>
      <w:r>
        <w:t>.</w:t>
      </w:r>
      <w:r w:rsidRPr="00913E76">
        <w:t xml:space="preserve">S. </w:t>
      </w:r>
      <w:r>
        <w:t xml:space="preserve">(2023). </w:t>
      </w:r>
      <w:r w:rsidRPr="00913E76">
        <w:t xml:space="preserve">Non‐pharmacological management of infant and young child procedural pain. </w:t>
      </w:r>
      <w:r w:rsidRPr="003A564D">
        <w:rPr>
          <w:i/>
          <w:iCs/>
        </w:rPr>
        <w:t>Cochrane Database of Systematic Reviews, 6</w:t>
      </w:r>
      <w:r w:rsidRPr="00913E76">
        <w:t xml:space="preserve">. Art. No.: CD006275. DOI: 10.1002/14651858.CD006275.pub4. </w:t>
      </w:r>
    </w:p>
    <w:p w14:paraId="60FB6E86" w14:textId="44DA0EC9" w:rsidR="00A24722" w:rsidRDefault="00A24722" w:rsidP="006741A1">
      <w:pPr>
        <w:pStyle w:val="NormalWeb"/>
        <w:spacing w:line="480" w:lineRule="auto"/>
        <w:ind w:left="720" w:hanging="720"/>
        <w:contextualSpacing/>
      </w:pPr>
      <w:r w:rsidRPr="00137E54">
        <w:t>Pillai Riddell</w:t>
      </w:r>
      <w:r w:rsidR="006741A1">
        <w:t>,</w:t>
      </w:r>
      <w:r w:rsidRPr="00137E54">
        <w:t xml:space="preserve"> R</w:t>
      </w:r>
      <w:r w:rsidR="006741A1">
        <w:t>.</w:t>
      </w:r>
      <w:r w:rsidRPr="00137E54">
        <w:t>, Flora</w:t>
      </w:r>
      <w:r w:rsidR="006741A1">
        <w:t>,</w:t>
      </w:r>
      <w:r w:rsidRPr="00137E54">
        <w:t xml:space="preserve"> D</w:t>
      </w:r>
      <w:r w:rsidR="006741A1">
        <w:t>.</w:t>
      </w:r>
      <w:r w:rsidRPr="00137E54">
        <w:t>B</w:t>
      </w:r>
      <w:r w:rsidR="006741A1">
        <w:t>.</w:t>
      </w:r>
      <w:r w:rsidRPr="00137E54">
        <w:t>, Stevens</w:t>
      </w:r>
      <w:r w:rsidR="006741A1">
        <w:t>,</w:t>
      </w:r>
      <w:r w:rsidRPr="00137E54">
        <w:t xml:space="preserve"> S</w:t>
      </w:r>
      <w:r w:rsidR="006741A1">
        <w:t>.</w:t>
      </w:r>
      <w:r w:rsidRPr="00137E54">
        <w:t>A</w:t>
      </w:r>
      <w:r w:rsidR="006741A1">
        <w:t>.</w:t>
      </w:r>
      <w:r w:rsidRPr="00137E54">
        <w:t>, Greenberg</w:t>
      </w:r>
      <w:r w:rsidR="006741A1">
        <w:t>,</w:t>
      </w:r>
      <w:r w:rsidRPr="00137E54">
        <w:t xml:space="preserve"> S</w:t>
      </w:r>
      <w:r w:rsidR="006741A1">
        <w:t>.</w:t>
      </w:r>
      <w:r w:rsidRPr="00137E54">
        <w:t xml:space="preserve">, </w:t>
      </w:r>
      <w:r w:rsidR="00727C3D">
        <w:t xml:space="preserve">&amp; </w:t>
      </w:r>
      <w:r w:rsidRPr="00137E54">
        <w:t>Garfield</w:t>
      </w:r>
      <w:r w:rsidR="006741A1">
        <w:t>,</w:t>
      </w:r>
      <w:r w:rsidRPr="00137E54">
        <w:t xml:space="preserve"> H.</w:t>
      </w:r>
      <w:r w:rsidR="006741A1">
        <w:t xml:space="preserve"> (2014).</w:t>
      </w:r>
      <w:r w:rsidRPr="00137E54">
        <w:t xml:space="preserve"> </w:t>
      </w:r>
      <w:r w:rsidR="00686388" w:rsidRPr="00686388">
        <w:rPr>
          <w:lang w:val="en-US"/>
        </w:rPr>
        <w:t>The</w:t>
      </w:r>
      <w:r w:rsidR="00686388">
        <w:rPr>
          <w:lang w:val="en-US"/>
        </w:rPr>
        <w:t xml:space="preserve"> </w:t>
      </w:r>
      <w:r w:rsidR="00686388" w:rsidRPr="00686388">
        <w:rPr>
          <w:lang w:val="en-US"/>
        </w:rPr>
        <w:t xml:space="preserve">role of infant pain </w:t>
      </w:r>
      <w:proofErr w:type="spellStart"/>
      <w:r w:rsidR="00686388" w:rsidRPr="00686388">
        <w:rPr>
          <w:lang w:val="en-US"/>
        </w:rPr>
        <w:t>behaviour</w:t>
      </w:r>
      <w:proofErr w:type="spellEnd"/>
      <w:r w:rsidR="00686388" w:rsidRPr="00686388">
        <w:rPr>
          <w:lang w:val="en-US"/>
        </w:rPr>
        <w:t xml:space="preserve"> in predicting parent pain ratings.</w:t>
      </w:r>
      <w:r w:rsidR="006741A1">
        <w:t xml:space="preserve"> </w:t>
      </w:r>
      <w:r w:rsidRPr="006741A1">
        <w:rPr>
          <w:i/>
          <w:iCs/>
        </w:rPr>
        <w:t>Pain Res</w:t>
      </w:r>
      <w:r w:rsidR="006741A1" w:rsidRPr="006741A1">
        <w:rPr>
          <w:i/>
          <w:iCs/>
        </w:rPr>
        <w:t>earch and</w:t>
      </w:r>
      <w:r w:rsidRPr="006741A1">
        <w:rPr>
          <w:i/>
          <w:iCs/>
        </w:rPr>
        <w:t xml:space="preserve"> Manag</w:t>
      </w:r>
      <w:r w:rsidR="006741A1" w:rsidRPr="006741A1">
        <w:rPr>
          <w:i/>
          <w:iCs/>
        </w:rPr>
        <w:t>ement</w:t>
      </w:r>
      <w:r w:rsidR="006741A1">
        <w:t xml:space="preserve">, </w:t>
      </w:r>
      <w:r w:rsidRPr="006741A1">
        <w:rPr>
          <w:i/>
          <w:iCs/>
        </w:rPr>
        <w:t>19</w:t>
      </w:r>
      <w:r w:rsidR="00686388">
        <w:t>(5)</w:t>
      </w:r>
      <w:r w:rsidRPr="00137E54">
        <w:t xml:space="preserve">: e124-32. </w:t>
      </w:r>
      <w:proofErr w:type="spellStart"/>
      <w:r w:rsidRPr="00137E54">
        <w:t>doi</w:t>
      </w:r>
      <w:proofErr w:type="spellEnd"/>
      <w:r w:rsidRPr="00137E54">
        <w:t>:/10.1155/2014/934831</w:t>
      </w:r>
    </w:p>
    <w:p w14:paraId="381B5F11" w14:textId="5C4F4E01" w:rsidR="00C7145C" w:rsidRDefault="00C7145C" w:rsidP="006741A1">
      <w:pPr>
        <w:pStyle w:val="NormalWeb"/>
        <w:spacing w:line="480" w:lineRule="auto"/>
        <w:ind w:left="720" w:hanging="720"/>
        <w:contextualSpacing/>
        <w:rPr>
          <w:lang w:val="en-US"/>
        </w:rPr>
      </w:pPr>
      <w:r w:rsidRPr="00C7145C">
        <w:rPr>
          <w:lang w:val="en-US"/>
        </w:rPr>
        <w:t>Pillai Riddell</w:t>
      </w:r>
      <w:r>
        <w:rPr>
          <w:lang w:val="en-US"/>
        </w:rPr>
        <w:t xml:space="preserve">, R., Jasim, S., &amp; </w:t>
      </w:r>
      <w:proofErr w:type="spellStart"/>
      <w:r>
        <w:rPr>
          <w:lang w:val="en-US"/>
        </w:rPr>
        <w:t>Hamwi</w:t>
      </w:r>
      <w:proofErr w:type="spellEnd"/>
      <w:r>
        <w:rPr>
          <w:lang w:val="en-US"/>
        </w:rPr>
        <w:t>, L. (2022). Out of the mouth of babes: A lot about pain has nothing to do with pain</w:t>
      </w:r>
      <w:r w:rsidRPr="00C7145C">
        <w:rPr>
          <w:lang w:val="en-US"/>
        </w:rPr>
        <w:t xml:space="preserve">. </w:t>
      </w:r>
      <w:r w:rsidRPr="00C7145C">
        <w:rPr>
          <w:i/>
          <w:iCs/>
          <w:lang w:val="en-US"/>
        </w:rPr>
        <w:t xml:space="preserve">Pain, </w:t>
      </w:r>
      <w:r w:rsidRPr="00C7145C">
        <w:rPr>
          <w:i/>
          <w:iCs/>
          <w:color w:val="000000" w:themeColor="text1"/>
          <w:lang w:val="en-US"/>
        </w:rPr>
        <w:t>163</w:t>
      </w:r>
      <w:r>
        <w:rPr>
          <w:color w:val="000000" w:themeColor="text1"/>
          <w:lang w:val="en-US"/>
        </w:rPr>
        <w:t xml:space="preserve">, </w:t>
      </w:r>
      <w:r w:rsidRPr="00C7145C">
        <w:rPr>
          <w:color w:val="000000" w:themeColor="text1"/>
          <w:lang w:val="en-US"/>
        </w:rPr>
        <w:t>S117-S125</w:t>
      </w:r>
      <w:r>
        <w:rPr>
          <w:color w:val="000000" w:themeColor="text1"/>
          <w:lang w:val="en-US"/>
        </w:rPr>
        <w:t>.</w:t>
      </w:r>
      <w:r>
        <w:rPr>
          <w:lang w:val="en-US"/>
        </w:rPr>
        <w:t xml:space="preserve"> https://doi: 10.1097/j.pain.0000000000002761  </w:t>
      </w:r>
    </w:p>
    <w:p w14:paraId="3887C494" w14:textId="5A7D4224" w:rsidR="00935ECA" w:rsidRPr="005E53EB" w:rsidRDefault="00935ECA" w:rsidP="006741A1">
      <w:pPr>
        <w:pStyle w:val="NormalWeb"/>
        <w:spacing w:line="480" w:lineRule="auto"/>
        <w:ind w:left="720" w:hanging="720"/>
        <w:contextualSpacing/>
      </w:pPr>
      <w:r>
        <w:t xml:space="preserve">Pillai </w:t>
      </w:r>
      <w:r w:rsidRPr="00935ECA">
        <w:t>Riddell, R</w:t>
      </w:r>
      <w:r>
        <w:t>.</w:t>
      </w:r>
      <w:r w:rsidRPr="00935ECA">
        <w:t xml:space="preserve">, O'Neill, M. C., Campbell, L., </w:t>
      </w:r>
      <w:proofErr w:type="spellStart"/>
      <w:r w:rsidRPr="00935ECA">
        <w:t>Taddio</w:t>
      </w:r>
      <w:proofErr w:type="spellEnd"/>
      <w:r w:rsidRPr="00935ECA">
        <w:t xml:space="preserve">, A., Greenberg, S., &amp; Garfield, H. (2018). Featured </w:t>
      </w:r>
      <w:r>
        <w:t>a</w:t>
      </w:r>
      <w:r w:rsidRPr="00935ECA">
        <w:t xml:space="preserve">rticle: The ABCDs of </w:t>
      </w:r>
      <w:r>
        <w:t>p</w:t>
      </w:r>
      <w:r w:rsidRPr="00935ECA">
        <w:t xml:space="preserve">ain </w:t>
      </w:r>
      <w:r>
        <w:t>m</w:t>
      </w:r>
      <w:r w:rsidRPr="00935ECA">
        <w:t xml:space="preserve">anagement: A </w:t>
      </w:r>
      <w:r>
        <w:t>d</w:t>
      </w:r>
      <w:r w:rsidRPr="00935ECA">
        <w:t>ouble-</w:t>
      </w:r>
      <w:r>
        <w:t>b</w:t>
      </w:r>
      <w:r w:rsidRPr="00935ECA">
        <w:t xml:space="preserve">lind </w:t>
      </w:r>
      <w:r>
        <w:t>r</w:t>
      </w:r>
      <w:r w:rsidRPr="00935ECA">
        <w:t xml:space="preserve">andomized </w:t>
      </w:r>
      <w:r>
        <w:t>c</w:t>
      </w:r>
      <w:r w:rsidRPr="00935ECA">
        <w:t xml:space="preserve">ontrolled </w:t>
      </w:r>
      <w:r>
        <w:t>t</w:t>
      </w:r>
      <w:r w:rsidRPr="00935ECA">
        <w:t xml:space="preserve">rial </w:t>
      </w:r>
      <w:r>
        <w:t>e</w:t>
      </w:r>
      <w:r w:rsidRPr="00935ECA">
        <w:t xml:space="preserve">xamining the </w:t>
      </w:r>
      <w:r>
        <w:t>i</w:t>
      </w:r>
      <w:r w:rsidRPr="00935ECA">
        <w:t xml:space="preserve">mpact of a </w:t>
      </w:r>
      <w:r>
        <w:t>b</w:t>
      </w:r>
      <w:r w:rsidRPr="00935ECA">
        <w:t xml:space="preserve">rief </w:t>
      </w:r>
      <w:r>
        <w:t>e</w:t>
      </w:r>
      <w:r w:rsidRPr="00935ECA">
        <w:t xml:space="preserve">ducational </w:t>
      </w:r>
      <w:r>
        <w:t>v</w:t>
      </w:r>
      <w:r w:rsidRPr="00935ECA">
        <w:t xml:space="preserve">ideo on </w:t>
      </w:r>
      <w:r>
        <w:t>i</w:t>
      </w:r>
      <w:r w:rsidRPr="00935ECA">
        <w:t xml:space="preserve">nfants' and </w:t>
      </w:r>
      <w:r>
        <w:t>t</w:t>
      </w:r>
      <w:r w:rsidRPr="00935ECA">
        <w:t xml:space="preserve">oddlers' </w:t>
      </w:r>
      <w:r>
        <w:t>p</w:t>
      </w:r>
      <w:r w:rsidRPr="00935ECA">
        <w:t xml:space="preserve">ain </w:t>
      </w:r>
      <w:r>
        <w:t>s</w:t>
      </w:r>
      <w:r w:rsidRPr="00935ECA">
        <w:t xml:space="preserve">cores and </w:t>
      </w:r>
      <w:r>
        <w:t>p</w:t>
      </w:r>
      <w:r w:rsidRPr="00935ECA">
        <w:t xml:space="preserve">arent </w:t>
      </w:r>
      <w:r>
        <w:t>s</w:t>
      </w:r>
      <w:r w:rsidRPr="00935ECA">
        <w:t xml:space="preserve">oothing </w:t>
      </w:r>
      <w:r>
        <w:t>b</w:t>
      </w:r>
      <w:r w:rsidRPr="00935ECA">
        <w:t>ehavior. </w:t>
      </w:r>
      <w:r w:rsidRPr="00935ECA">
        <w:rPr>
          <w:i/>
          <w:iCs/>
        </w:rPr>
        <w:t xml:space="preserve">Journal of </w:t>
      </w:r>
      <w:r>
        <w:rPr>
          <w:i/>
          <w:iCs/>
        </w:rPr>
        <w:t>P</w:t>
      </w:r>
      <w:r w:rsidRPr="00935ECA">
        <w:rPr>
          <w:i/>
          <w:iCs/>
        </w:rPr>
        <w:t xml:space="preserve">ediatric </w:t>
      </w:r>
      <w:r>
        <w:rPr>
          <w:i/>
          <w:iCs/>
        </w:rPr>
        <w:t>P</w:t>
      </w:r>
      <w:r w:rsidRPr="00935ECA">
        <w:rPr>
          <w:i/>
          <w:iCs/>
        </w:rPr>
        <w:t>sychology</w:t>
      </w:r>
      <w:r w:rsidRPr="00935ECA">
        <w:t>, </w:t>
      </w:r>
      <w:r w:rsidRPr="00935ECA">
        <w:rPr>
          <w:i/>
          <w:iCs/>
        </w:rPr>
        <w:t>43</w:t>
      </w:r>
      <w:r w:rsidRPr="00935ECA">
        <w:t>(3), 224–233. https://doi.org/10.1093/jpepsy/jsx122</w:t>
      </w:r>
    </w:p>
    <w:p w14:paraId="28CBF335" w14:textId="5E396009" w:rsidR="00A24722" w:rsidRPr="00137E54" w:rsidRDefault="00A24722" w:rsidP="004D6240">
      <w:pPr>
        <w:pStyle w:val="NormalWeb"/>
        <w:spacing w:line="480" w:lineRule="auto"/>
        <w:ind w:left="720" w:hanging="720"/>
        <w:contextualSpacing/>
      </w:pPr>
      <w:r w:rsidRPr="00137E54">
        <w:t>Pillai Riddell</w:t>
      </w:r>
      <w:r w:rsidR="006741A1">
        <w:t>,</w:t>
      </w:r>
      <w:r w:rsidRPr="00137E54">
        <w:t xml:space="preserve"> R</w:t>
      </w:r>
      <w:r w:rsidR="006741A1">
        <w:t>.</w:t>
      </w:r>
      <w:r w:rsidRPr="00137E54">
        <w:t>, Racine</w:t>
      </w:r>
      <w:r w:rsidR="006741A1">
        <w:t>,</w:t>
      </w:r>
      <w:r w:rsidRPr="00137E54">
        <w:t xml:space="preserve"> N.</w:t>
      </w:r>
      <w:r w:rsidR="006741A1">
        <w:t xml:space="preserve"> (2009).</w:t>
      </w:r>
      <w:r w:rsidRPr="00137E54">
        <w:t xml:space="preserve"> Assessing pain in infancy: The caregiver context. </w:t>
      </w:r>
      <w:r w:rsidRPr="006741A1">
        <w:rPr>
          <w:i/>
          <w:iCs/>
        </w:rPr>
        <w:t>Journal of Pain Research and Management</w:t>
      </w:r>
      <w:r w:rsidR="006741A1">
        <w:t>,</w:t>
      </w:r>
      <w:r w:rsidRPr="006741A1">
        <w:rPr>
          <w:i/>
          <w:iCs/>
        </w:rPr>
        <w:t>14</w:t>
      </w:r>
      <w:r w:rsidR="006741A1">
        <w:t xml:space="preserve">, </w:t>
      </w:r>
      <w:r w:rsidRPr="00137E54">
        <w:t xml:space="preserve">27-32. doi:10.1155/201/410725 </w:t>
      </w:r>
    </w:p>
    <w:p w14:paraId="2407E6D7" w14:textId="77777777" w:rsidR="00AC6138" w:rsidRDefault="004D6240" w:rsidP="00AC6138">
      <w:pPr>
        <w:pStyle w:val="NormalWeb"/>
        <w:spacing w:line="480" w:lineRule="auto"/>
        <w:ind w:left="720" w:hanging="720"/>
        <w:contextualSpacing/>
        <w:rPr>
          <w:rStyle w:val="Hyperlink"/>
        </w:rPr>
      </w:pPr>
      <w:r>
        <w:lastRenderedPageBreak/>
        <w:t xml:space="preserve">Pillai </w:t>
      </w:r>
      <w:r w:rsidRPr="004D6240">
        <w:t xml:space="preserve">Riddell, R. R., Stevens, B. J., Cohen, L. L., Flora, D. B., &amp; Greenberg, S. (2007). Predicting maternal and behavioral measures of infant pain: </w:t>
      </w:r>
      <w:r>
        <w:t>T</w:t>
      </w:r>
      <w:r w:rsidRPr="004D6240">
        <w:t>he relative contribution of maternal factors. </w:t>
      </w:r>
      <w:r w:rsidRPr="004D6240">
        <w:rPr>
          <w:i/>
          <w:iCs/>
        </w:rPr>
        <w:t>Pain</w:t>
      </w:r>
      <w:r w:rsidRPr="004D6240">
        <w:t>, </w:t>
      </w:r>
      <w:r w:rsidRPr="004D6240">
        <w:rPr>
          <w:i/>
          <w:iCs/>
        </w:rPr>
        <w:t>133</w:t>
      </w:r>
      <w:r w:rsidRPr="004D6240">
        <w:t xml:space="preserve">(1-3), 138–149. </w:t>
      </w:r>
      <w:hyperlink r:id="rId25" w:history="1">
        <w:r w:rsidR="00006E5E" w:rsidRPr="003D2E51">
          <w:rPr>
            <w:rStyle w:val="Hyperlink"/>
          </w:rPr>
          <w:t>https://doi.org/10.1016/j.pain.2007.03.020</w:t>
        </w:r>
      </w:hyperlink>
    </w:p>
    <w:p w14:paraId="3F9F7D2D" w14:textId="2FFC7332" w:rsidR="009965C7" w:rsidRPr="005F2127" w:rsidRDefault="009965C7" w:rsidP="00AC6138">
      <w:pPr>
        <w:pStyle w:val="NormalWeb"/>
        <w:spacing w:line="480" w:lineRule="auto"/>
        <w:ind w:left="720" w:hanging="720"/>
        <w:contextualSpacing/>
        <w:rPr>
          <w:rStyle w:val="Hyperlink"/>
          <w:color w:val="000000" w:themeColor="text1"/>
          <w:u w:val="none"/>
        </w:rPr>
      </w:pPr>
      <w:r w:rsidRPr="005F2127">
        <w:rPr>
          <w:color w:val="000000" w:themeColor="text1"/>
        </w:rPr>
        <w:t xml:space="preserve">Ryder, A. G., Alden, L. E., &amp; </w:t>
      </w:r>
      <w:proofErr w:type="spellStart"/>
      <w:r w:rsidRPr="005F2127">
        <w:rPr>
          <w:color w:val="000000" w:themeColor="text1"/>
        </w:rPr>
        <w:t>Paulhus</w:t>
      </w:r>
      <w:proofErr w:type="spellEnd"/>
      <w:r w:rsidRPr="005F2127">
        <w:rPr>
          <w:color w:val="000000" w:themeColor="text1"/>
        </w:rPr>
        <w:t>, D. L. (2000). Is acculturation unidimensional or bidimensional? A head-to-head comparison in the prediction of personality, self-identity, and adjustment. </w:t>
      </w:r>
      <w:r w:rsidRPr="005F2127">
        <w:rPr>
          <w:i/>
          <w:iCs/>
          <w:color w:val="000000" w:themeColor="text1"/>
        </w:rPr>
        <w:t xml:space="preserve">Journal of </w:t>
      </w:r>
      <w:r w:rsidRPr="005F2127">
        <w:rPr>
          <w:i/>
          <w:iCs/>
          <w:color w:val="000000" w:themeColor="text1"/>
        </w:rPr>
        <w:t>P</w:t>
      </w:r>
      <w:r w:rsidRPr="005F2127">
        <w:rPr>
          <w:i/>
          <w:iCs/>
          <w:color w:val="000000" w:themeColor="text1"/>
        </w:rPr>
        <w:t xml:space="preserve">ersonality and </w:t>
      </w:r>
      <w:r w:rsidRPr="005F2127">
        <w:rPr>
          <w:i/>
          <w:iCs/>
          <w:color w:val="000000" w:themeColor="text1"/>
        </w:rPr>
        <w:t>S</w:t>
      </w:r>
      <w:r w:rsidRPr="005F2127">
        <w:rPr>
          <w:i/>
          <w:iCs/>
          <w:color w:val="000000" w:themeColor="text1"/>
        </w:rPr>
        <w:t xml:space="preserve">ocial </w:t>
      </w:r>
      <w:r w:rsidRPr="005F2127">
        <w:rPr>
          <w:i/>
          <w:iCs/>
          <w:color w:val="000000" w:themeColor="text1"/>
        </w:rPr>
        <w:t>P</w:t>
      </w:r>
      <w:r w:rsidRPr="005F2127">
        <w:rPr>
          <w:i/>
          <w:iCs/>
          <w:color w:val="000000" w:themeColor="text1"/>
        </w:rPr>
        <w:t>sychology</w:t>
      </w:r>
      <w:r w:rsidRPr="005F2127">
        <w:rPr>
          <w:color w:val="000000" w:themeColor="text1"/>
        </w:rPr>
        <w:t>, </w:t>
      </w:r>
      <w:r w:rsidRPr="005F2127">
        <w:rPr>
          <w:i/>
          <w:iCs/>
          <w:color w:val="000000" w:themeColor="text1"/>
        </w:rPr>
        <w:t>79</w:t>
      </w:r>
      <w:r w:rsidRPr="005F2127">
        <w:rPr>
          <w:color w:val="000000" w:themeColor="text1"/>
        </w:rPr>
        <w:t>(1), 49–65. https://doi.org/10.1037//0022-3514.79.1.49</w:t>
      </w:r>
    </w:p>
    <w:p w14:paraId="0DD5F790" w14:textId="77777777" w:rsidR="00AC6138" w:rsidRPr="003A46B1" w:rsidRDefault="00AC6138" w:rsidP="00AC6138">
      <w:pPr>
        <w:pStyle w:val="NormalWeb"/>
        <w:spacing w:line="480" w:lineRule="auto"/>
        <w:ind w:left="720" w:hanging="720"/>
        <w:contextualSpacing/>
        <w:rPr>
          <w:color w:val="000000" w:themeColor="text1"/>
          <w:shd w:val="clear" w:color="auto" w:fill="FFFFFF"/>
        </w:rPr>
      </w:pPr>
      <w:r w:rsidRPr="003A46B1">
        <w:rPr>
          <w:color w:val="000000" w:themeColor="text1"/>
        </w:rPr>
        <w:t xml:space="preserve">Statistics Canada </w:t>
      </w:r>
      <w:r w:rsidRPr="003A46B1">
        <w:rPr>
          <w:color w:val="000000" w:themeColor="text1"/>
          <w:shd w:val="clear" w:color="auto" w:fill="FFFFFF"/>
        </w:rPr>
        <w:t>(</w:t>
      </w:r>
      <w:r w:rsidRPr="003A46B1">
        <w:rPr>
          <w:color w:val="000000" w:themeColor="text1"/>
        </w:rPr>
        <w:t>2021</w:t>
      </w:r>
      <w:r w:rsidRPr="003A46B1">
        <w:rPr>
          <w:color w:val="000000" w:themeColor="text1"/>
          <w:shd w:val="clear" w:color="auto" w:fill="FFFFFF"/>
        </w:rPr>
        <w:t>). </w:t>
      </w:r>
      <w:r w:rsidRPr="003A46B1">
        <w:rPr>
          <w:rStyle w:val="Emphasis"/>
          <w:color w:val="000000" w:themeColor="text1"/>
          <w:bdr w:val="none" w:sz="0" w:space="0" w:color="auto" w:frame="1"/>
          <w:shd w:val="clear" w:color="auto" w:fill="FFFFFF"/>
        </w:rPr>
        <w:t>List of ethnic or cultural origins</w:t>
      </w:r>
      <w:r w:rsidRPr="003A46B1">
        <w:rPr>
          <w:rStyle w:val="Emphasis"/>
          <w:color w:val="000000" w:themeColor="text1"/>
          <w:bdr w:val="none" w:sz="0" w:space="0" w:color="auto" w:frame="1"/>
          <w:shd w:val="clear" w:color="auto" w:fill="FFFFFF"/>
        </w:rPr>
        <w:t xml:space="preserve"> </w:t>
      </w:r>
      <w:r w:rsidRPr="003A46B1">
        <w:rPr>
          <w:rStyle w:val="Emphasis"/>
          <w:color w:val="000000" w:themeColor="text1"/>
          <w:bdr w:val="none" w:sz="0" w:space="0" w:color="auto" w:frame="1"/>
          <w:shd w:val="clear" w:color="auto" w:fill="FFFFFF"/>
        </w:rPr>
        <w:t>2021</w:t>
      </w:r>
      <w:r w:rsidRPr="003A46B1">
        <w:rPr>
          <w:color w:val="000000" w:themeColor="text1"/>
          <w:shd w:val="clear" w:color="auto" w:fill="FFFFFF"/>
        </w:rPr>
        <w:t>. </w:t>
      </w:r>
    </w:p>
    <w:p w14:paraId="5C24FE81" w14:textId="0809CD7F" w:rsidR="00AC6138" w:rsidRPr="003A46B1" w:rsidRDefault="00AC6138" w:rsidP="009965C7">
      <w:pPr>
        <w:pStyle w:val="NormalWeb"/>
        <w:spacing w:line="480" w:lineRule="auto"/>
        <w:ind w:left="720"/>
        <w:contextualSpacing/>
        <w:rPr>
          <w:color w:val="000000" w:themeColor="text1"/>
          <w:u w:val="single"/>
        </w:rPr>
      </w:pPr>
      <w:r w:rsidRPr="003A46B1">
        <w:rPr>
          <w:color w:val="000000" w:themeColor="text1"/>
        </w:rPr>
        <w:t>https://www23.statcan.gc.ca/imdb/p3VD.pl?Function=getVD&amp;TVD=1310929</w:t>
      </w:r>
    </w:p>
    <w:p w14:paraId="61F67248" w14:textId="50AC0F8C" w:rsidR="00006E5E" w:rsidRDefault="00006E5E" w:rsidP="00A73801">
      <w:pPr>
        <w:pStyle w:val="NormalWeb"/>
        <w:spacing w:line="480" w:lineRule="auto"/>
        <w:ind w:left="720" w:hanging="720"/>
        <w:contextualSpacing/>
      </w:pPr>
      <w:r w:rsidRPr="00727C3D">
        <w:rPr>
          <w:lang w:val="fr-FR"/>
        </w:rPr>
        <w:t xml:space="preserve">St-Laurent-Gagnon, T., Bernard-Bonnin, A. C., &amp; Villeneuve, E. (1999). </w:t>
      </w:r>
      <w:r w:rsidRPr="00006E5E">
        <w:t>Pain evaluation in preschool children and by their parents. </w:t>
      </w:r>
      <w:r w:rsidRPr="00006E5E">
        <w:rPr>
          <w:i/>
          <w:iCs/>
        </w:rPr>
        <w:t xml:space="preserve">Acta </w:t>
      </w:r>
      <w:proofErr w:type="spellStart"/>
      <w:r w:rsidR="00727C3D">
        <w:rPr>
          <w:i/>
          <w:iCs/>
        </w:rPr>
        <w:t>P</w:t>
      </w:r>
      <w:r w:rsidRPr="00006E5E">
        <w:rPr>
          <w:i/>
          <w:iCs/>
        </w:rPr>
        <w:t>aediatrica</w:t>
      </w:r>
      <w:proofErr w:type="spellEnd"/>
      <w:r w:rsidRPr="00006E5E">
        <w:rPr>
          <w:i/>
          <w:iCs/>
        </w:rPr>
        <w:t xml:space="preserve"> (Oslo, </w:t>
      </w:r>
      <w:proofErr w:type="gramStart"/>
      <w:r w:rsidRPr="00006E5E">
        <w:rPr>
          <w:i/>
          <w:iCs/>
        </w:rPr>
        <w:t>Norway :</w:t>
      </w:r>
      <w:proofErr w:type="gramEnd"/>
      <w:r w:rsidRPr="00006E5E">
        <w:rPr>
          <w:i/>
          <w:iCs/>
        </w:rPr>
        <w:t xml:space="preserve"> 1992)</w:t>
      </w:r>
      <w:r w:rsidRPr="00006E5E">
        <w:t>, </w:t>
      </w:r>
      <w:r w:rsidRPr="00006E5E">
        <w:rPr>
          <w:i/>
          <w:iCs/>
        </w:rPr>
        <w:t>88</w:t>
      </w:r>
      <w:r w:rsidRPr="00006E5E">
        <w:t xml:space="preserve">(4), 422–427. </w:t>
      </w:r>
      <w:hyperlink r:id="rId26" w:history="1">
        <w:r w:rsidR="007A2103" w:rsidRPr="00715C18">
          <w:rPr>
            <w:rStyle w:val="Hyperlink"/>
          </w:rPr>
          <w:t>https://doi.org/10.1080/08035259950169819</w:t>
        </w:r>
      </w:hyperlink>
    </w:p>
    <w:p w14:paraId="69C9CD95" w14:textId="3D67A447" w:rsidR="00C6617E" w:rsidRDefault="00C6617E" w:rsidP="00A73801">
      <w:pPr>
        <w:pStyle w:val="NormalWeb"/>
        <w:spacing w:line="480" w:lineRule="auto"/>
        <w:ind w:left="720" w:hanging="720"/>
        <w:contextualSpacing/>
      </w:pPr>
      <w:r w:rsidRPr="00C6617E">
        <w:t xml:space="preserve">Trottier, E. D., </w:t>
      </w:r>
      <w:proofErr w:type="spellStart"/>
      <w:r w:rsidRPr="00C6617E">
        <w:t>Doré</w:t>
      </w:r>
      <w:proofErr w:type="spellEnd"/>
      <w:r w:rsidRPr="00C6617E">
        <w:t>-Bergeron, M. J., Chauvin-</w:t>
      </w:r>
      <w:proofErr w:type="spellStart"/>
      <w:r w:rsidRPr="00C6617E">
        <w:t>Kimoff</w:t>
      </w:r>
      <w:proofErr w:type="spellEnd"/>
      <w:r w:rsidRPr="00C6617E">
        <w:t xml:space="preserve">, L., </w:t>
      </w:r>
      <w:proofErr w:type="spellStart"/>
      <w:r w:rsidRPr="00C6617E">
        <w:t>Baerg</w:t>
      </w:r>
      <w:proofErr w:type="spellEnd"/>
      <w:r w:rsidRPr="00C6617E">
        <w:t>, K., &amp; Ali, S. (2019). Managing pain and distress in children undergoing brief diagnostic and therapeutic procedures. </w:t>
      </w:r>
      <w:r w:rsidRPr="00C6617E">
        <w:rPr>
          <w:i/>
          <w:iCs/>
        </w:rPr>
        <w:t xml:space="preserve">Paediatrics &amp; </w:t>
      </w:r>
      <w:r>
        <w:rPr>
          <w:i/>
          <w:iCs/>
        </w:rPr>
        <w:t>C</w:t>
      </w:r>
      <w:r w:rsidRPr="00C6617E">
        <w:rPr>
          <w:i/>
          <w:iCs/>
        </w:rPr>
        <w:t xml:space="preserve">hild </w:t>
      </w:r>
      <w:r>
        <w:rPr>
          <w:i/>
          <w:iCs/>
        </w:rPr>
        <w:t>H</w:t>
      </w:r>
      <w:r w:rsidRPr="00C6617E">
        <w:rPr>
          <w:i/>
          <w:iCs/>
        </w:rPr>
        <w:t>ealth</w:t>
      </w:r>
      <w:r w:rsidRPr="00C6617E">
        <w:t>, </w:t>
      </w:r>
      <w:r w:rsidRPr="00C6617E">
        <w:rPr>
          <w:i/>
          <w:iCs/>
        </w:rPr>
        <w:t>24</w:t>
      </w:r>
      <w:r w:rsidRPr="00C6617E">
        <w:t>(8), 509–535. https://doi.org/10.1093/pch/pxz026</w:t>
      </w:r>
    </w:p>
    <w:p w14:paraId="4D695BBA" w14:textId="6DF29373" w:rsidR="007A2103" w:rsidRPr="00F23DFE" w:rsidRDefault="007A2103" w:rsidP="00A73801">
      <w:pPr>
        <w:pStyle w:val="NormalWeb"/>
        <w:spacing w:line="480" w:lineRule="auto"/>
        <w:ind w:left="720" w:hanging="720"/>
        <w:contextualSpacing/>
        <w:rPr>
          <w:color w:val="000000" w:themeColor="text1"/>
        </w:rPr>
      </w:pPr>
      <w:proofErr w:type="spellStart"/>
      <w:r w:rsidRPr="00F23DFE">
        <w:rPr>
          <w:color w:val="000000" w:themeColor="text1"/>
          <w:shd w:val="clear" w:color="auto" w:fill="FFFFFF"/>
        </w:rPr>
        <w:t>Vinall</w:t>
      </w:r>
      <w:proofErr w:type="spellEnd"/>
      <w:r w:rsidRPr="00F23DFE">
        <w:rPr>
          <w:color w:val="000000" w:themeColor="text1"/>
          <w:shd w:val="clear" w:color="auto" w:fill="FFFFFF"/>
        </w:rPr>
        <w:t>, J., &amp; Grunau, R. (2014). Impact of repeated procedural pain-related stress in infants born very preterm. </w:t>
      </w:r>
      <w:r w:rsidRPr="00F23DFE">
        <w:rPr>
          <w:i/>
          <w:iCs/>
          <w:color w:val="000000" w:themeColor="text1"/>
          <w:shd w:val="clear" w:color="auto" w:fill="FFFFFF"/>
        </w:rPr>
        <w:t>Pediatric Research,</w:t>
      </w:r>
      <w:r w:rsidRPr="00F23DFE">
        <w:rPr>
          <w:color w:val="000000" w:themeColor="text1"/>
          <w:shd w:val="clear" w:color="auto" w:fill="FFFFFF"/>
        </w:rPr>
        <w:t> </w:t>
      </w:r>
      <w:r w:rsidRPr="00F23DFE">
        <w:rPr>
          <w:i/>
          <w:iCs/>
          <w:color w:val="000000" w:themeColor="text1"/>
          <w:shd w:val="clear" w:color="auto" w:fill="FFFFFF"/>
        </w:rPr>
        <w:t>75</w:t>
      </w:r>
      <w:r w:rsidRPr="00F23DFE">
        <w:rPr>
          <w:color w:val="000000" w:themeColor="text1"/>
          <w:shd w:val="clear" w:color="auto" w:fill="FFFFFF"/>
        </w:rPr>
        <w:t>, 584–587. https://doi.org/10.1038/pr.2014.16</w:t>
      </w:r>
    </w:p>
    <w:p w14:paraId="680D8F11" w14:textId="61DF2775" w:rsidR="005D7045" w:rsidRPr="00D42E2A" w:rsidRDefault="005D7045" w:rsidP="006741A1">
      <w:pPr>
        <w:pStyle w:val="NormalWeb"/>
        <w:spacing w:line="480" w:lineRule="auto"/>
        <w:ind w:left="720" w:hanging="720"/>
      </w:pPr>
    </w:p>
    <w:sectPr w:rsidR="005D7045" w:rsidRPr="00D42E2A" w:rsidSect="00E958F0">
      <w:footerReference w:type="even" r:id="rId27"/>
      <w:footerReference w:type="default" r:id="rId2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CE864" w14:textId="77777777" w:rsidR="00B8191F" w:rsidRDefault="00B8191F" w:rsidP="00EA349F">
      <w:r>
        <w:separator/>
      </w:r>
    </w:p>
  </w:endnote>
  <w:endnote w:type="continuationSeparator" w:id="0">
    <w:p w14:paraId="58A637B8" w14:textId="77777777" w:rsidR="00B8191F" w:rsidRDefault="00B8191F" w:rsidP="00EA3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47441431"/>
      <w:docPartObj>
        <w:docPartGallery w:val="Page Numbers (Bottom of Page)"/>
        <w:docPartUnique/>
      </w:docPartObj>
    </w:sdtPr>
    <w:sdtContent>
      <w:p w14:paraId="1A36A6BB" w14:textId="4E57FBD9" w:rsidR="00EA349F" w:rsidRDefault="00EA349F" w:rsidP="001A37A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9E913C" w14:textId="77777777" w:rsidR="00EA349F" w:rsidRDefault="00EA349F" w:rsidP="00EA349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71233072"/>
      <w:docPartObj>
        <w:docPartGallery w:val="Page Numbers (Bottom of Page)"/>
        <w:docPartUnique/>
      </w:docPartObj>
    </w:sdtPr>
    <w:sdtContent>
      <w:p w14:paraId="5AD7BBDD" w14:textId="12AF898C" w:rsidR="00EA349F" w:rsidRDefault="00EA349F" w:rsidP="001A37A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621D43C" w14:textId="77777777" w:rsidR="00EA349F" w:rsidRDefault="00EA349F" w:rsidP="00EA349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01BAE5" w14:textId="77777777" w:rsidR="00B8191F" w:rsidRDefault="00B8191F" w:rsidP="00EA349F">
      <w:r>
        <w:separator/>
      </w:r>
    </w:p>
  </w:footnote>
  <w:footnote w:type="continuationSeparator" w:id="0">
    <w:p w14:paraId="7EEE57A5" w14:textId="77777777" w:rsidR="00B8191F" w:rsidRDefault="00B8191F" w:rsidP="00EA34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3243"/>
    <w:multiLevelType w:val="hybridMultilevel"/>
    <w:tmpl w:val="56C2B99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14CB7694"/>
    <w:multiLevelType w:val="multilevel"/>
    <w:tmpl w:val="9A1CC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750796"/>
    <w:multiLevelType w:val="hybridMultilevel"/>
    <w:tmpl w:val="568231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80747D"/>
    <w:multiLevelType w:val="hybridMultilevel"/>
    <w:tmpl w:val="56C2B9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31815B9"/>
    <w:multiLevelType w:val="hybridMultilevel"/>
    <w:tmpl w:val="56C2B99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25236579"/>
    <w:multiLevelType w:val="hybridMultilevel"/>
    <w:tmpl w:val="A37A19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A420A2"/>
    <w:multiLevelType w:val="hybridMultilevel"/>
    <w:tmpl w:val="63146518"/>
    <w:lvl w:ilvl="0" w:tplc="0409000F">
      <w:start w:val="3"/>
      <w:numFmt w:val="decimal"/>
      <w:lvlText w:val="%1."/>
      <w:lvlJc w:val="left"/>
      <w:pPr>
        <w:ind w:left="360" w:hanging="360"/>
      </w:pPr>
      <w:rPr>
        <w:rFonts w:ascii="Times New Roman" w:hAnsi="Times New Roman" w:cs="Times New Roman"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4653847"/>
    <w:multiLevelType w:val="hybridMultilevel"/>
    <w:tmpl w:val="F46C7DEE"/>
    <w:lvl w:ilvl="0" w:tplc="48CAD4AA">
      <w:start w:val="2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A447C9B"/>
    <w:multiLevelType w:val="hybridMultilevel"/>
    <w:tmpl w:val="963AC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226BDB"/>
    <w:multiLevelType w:val="hybridMultilevel"/>
    <w:tmpl w:val="8348C4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C73144B"/>
    <w:multiLevelType w:val="hybridMultilevel"/>
    <w:tmpl w:val="6806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EFC0C58"/>
    <w:multiLevelType w:val="hybridMultilevel"/>
    <w:tmpl w:val="5DA88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996A1C"/>
    <w:multiLevelType w:val="hybridMultilevel"/>
    <w:tmpl w:val="096266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772D51F8"/>
    <w:multiLevelType w:val="hybridMultilevel"/>
    <w:tmpl w:val="79820F46"/>
    <w:lvl w:ilvl="0" w:tplc="B978B2E4">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3341123">
    <w:abstractNumId w:val="8"/>
  </w:num>
  <w:num w:numId="2" w16cid:durableId="2065060870">
    <w:abstractNumId w:val="13"/>
  </w:num>
  <w:num w:numId="3" w16cid:durableId="845629048">
    <w:abstractNumId w:val="5"/>
  </w:num>
  <w:num w:numId="4" w16cid:durableId="1938246343">
    <w:abstractNumId w:val="10"/>
  </w:num>
  <w:num w:numId="5" w16cid:durableId="673340499">
    <w:abstractNumId w:val="7"/>
  </w:num>
  <w:num w:numId="6" w16cid:durableId="502932809">
    <w:abstractNumId w:val="1"/>
  </w:num>
  <w:num w:numId="7" w16cid:durableId="1101489299">
    <w:abstractNumId w:val="2"/>
  </w:num>
  <w:num w:numId="8" w16cid:durableId="1397581795">
    <w:abstractNumId w:val="11"/>
  </w:num>
  <w:num w:numId="9" w16cid:durableId="1675109562">
    <w:abstractNumId w:val="6"/>
  </w:num>
  <w:num w:numId="10" w16cid:durableId="1860269458">
    <w:abstractNumId w:val="9"/>
  </w:num>
  <w:num w:numId="11" w16cid:durableId="328220276">
    <w:abstractNumId w:val="3"/>
  </w:num>
  <w:num w:numId="12" w16cid:durableId="204870868">
    <w:abstractNumId w:val="4"/>
  </w:num>
  <w:num w:numId="13" w16cid:durableId="1994942913">
    <w:abstractNumId w:val="0"/>
  </w:num>
  <w:num w:numId="14" w16cid:durableId="1134237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E2A"/>
    <w:rsid w:val="00001D0B"/>
    <w:rsid w:val="00002426"/>
    <w:rsid w:val="000064FE"/>
    <w:rsid w:val="0000691D"/>
    <w:rsid w:val="00006B9F"/>
    <w:rsid w:val="00006E5E"/>
    <w:rsid w:val="00007432"/>
    <w:rsid w:val="000112AF"/>
    <w:rsid w:val="0001155B"/>
    <w:rsid w:val="0001666B"/>
    <w:rsid w:val="00023DE9"/>
    <w:rsid w:val="00024A90"/>
    <w:rsid w:val="000251C6"/>
    <w:rsid w:val="00026648"/>
    <w:rsid w:val="00030222"/>
    <w:rsid w:val="000319CA"/>
    <w:rsid w:val="00033034"/>
    <w:rsid w:val="0003406A"/>
    <w:rsid w:val="00042BF6"/>
    <w:rsid w:val="000439F3"/>
    <w:rsid w:val="000443F3"/>
    <w:rsid w:val="000450BC"/>
    <w:rsid w:val="00045B80"/>
    <w:rsid w:val="00047DC5"/>
    <w:rsid w:val="00050EE4"/>
    <w:rsid w:val="000538C2"/>
    <w:rsid w:val="00054385"/>
    <w:rsid w:val="000628A7"/>
    <w:rsid w:val="00063AB2"/>
    <w:rsid w:val="00064AC7"/>
    <w:rsid w:val="00064BDA"/>
    <w:rsid w:val="000657E0"/>
    <w:rsid w:val="00065C8F"/>
    <w:rsid w:val="00066370"/>
    <w:rsid w:val="0006675D"/>
    <w:rsid w:val="00067516"/>
    <w:rsid w:val="00067637"/>
    <w:rsid w:val="00077D62"/>
    <w:rsid w:val="00077EFC"/>
    <w:rsid w:val="000814DD"/>
    <w:rsid w:val="000822E8"/>
    <w:rsid w:val="00084EF6"/>
    <w:rsid w:val="00086FBC"/>
    <w:rsid w:val="00087F2F"/>
    <w:rsid w:val="00090C5D"/>
    <w:rsid w:val="00091164"/>
    <w:rsid w:val="0009129D"/>
    <w:rsid w:val="00091BB0"/>
    <w:rsid w:val="00093914"/>
    <w:rsid w:val="000942F9"/>
    <w:rsid w:val="00096E3A"/>
    <w:rsid w:val="000A035F"/>
    <w:rsid w:val="000A4187"/>
    <w:rsid w:val="000A67EC"/>
    <w:rsid w:val="000B236E"/>
    <w:rsid w:val="000B339A"/>
    <w:rsid w:val="000B37E4"/>
    <w:rsid w:val="000B5889"/>
    <w:rsid w:val="000B762C"/>
    <w:rsid w:val="000B7F6C"/>
    <w:rsid w:val="000D1156"/>
    <w:rsid w:val="000D13DB"/>
    <w:rsid w:val="000D79C5"/>
    <w:rsid w:val="000D7B82"/>
    <w:rsid w:val="000E2455"/>
    <w:rsid w:val="000E4FB6"/>
    <w:rsid w:val="000F05D5"/>
    <w:rsid w:val="000F0928"/>
    <w:rsid w:val="000F1847"/>
    <w:rsid w:val="000F2EDF"/>
    <w:rsid w:val="000F3033"/>
    <w:rsid w:val="000F466E"/>
    <w:rsid w:val="0010160B"/>
    <w:rsid w:val="001032AE"/>
    <w:rsid w:val="001042FA"/>
    <w:rsid w:val="00105613"/>
    <w:rsid w:val="001063BF"/>
    <w:rsid w:val="001132F6"/>
    <w:rsid w:val="00113767"/>
    <w:rsid w:val="00115E93"/>
    <w:rsid w:val="001175DF"/>
    <w:rsid w:val="00123285"/>
    <w:rsid w:val="00125AE0"/>
    <w:rsid w:val="00126E71"/>
    <w:rsid w:val="00132FC5"/>
    <w:rsid w:val="001336EE"/>
    <w:rsid w:val="00137388"/>
    <w:rsid w:val="00141FBE"/>
    <w:rsid w:val="001432C7"/>
    <w:rsid w:val="00145DA5"/>
    <w:rsid w:val="00146B23"/>
    <w:rsid w:val="00146E50"/>
    <w:rsid w:val="001502CE"/>
    <w:rsid w:val="00151587"/>
    <w:rsid w:val="00151C02"/>
    <w:rsid w:val="00152529"/>
    <w:rsid w:val="00152916"/>
    <w:rsid w:val="00155632"/>
    <w:rsid w:val="00155E9E"/>
    <w:rsid w:val="001561E2"/>
    <w:rsid w:val="00156361"/>
    <w:rsid w:val="00157641"/>
    <w:rsid w:val="001629F7"/>
    <w:rsid w:val="00162E28"/>
    <w:rsid w:val="00162F8A"/>
    <w:rsid w:val="001647E4"/>
    <w:rsid w:val="00165899"/>
    <w:rsid w:val="0016683E"/>
    <w:rsid w:val="00166AE7"/>
    <w:rsid w:val="00166C31"/>
    <w:rsid w:val="00167F15"/>
    <w:rsid w:val="00170DC2"/>
    <w:rsid w:val="001735BD"/>
    <w:rsid w:val="00173629"/>
    <w:rsid w:val="001740F9"/>
    <w:rsid w:val="001749F9"/>
    <w:rsid w:val="00175308"/>
    <w:rsid w:val="00175C1B"/>
    <w:rsid w:val="001778C5"/>
    <w:rsid w:val="00177AD8"/>
    <w:rsid w:val="001818F3"/>
    <w:rsid w:val="001831AE"/>
    <w:rsid w:val="00185BD7"/>
    <w:rsid w:val="0018636B"/>
    <w:rsid w:val="00186715"/>
    <w:rsid w:val="00187402"/>
    <w:rsid w:val="00191AB7"/>
    <w:rsid w:val="0019371F"/>
    <w:rsid w:val="00194341"/>
    <w:rsid w:val="00194D52"/>
    <w:rsid w:val="001950D5"/>
    <w:rsid w:val="001950EA"/>
    <w:rsid w:val="00195349"/>
    <w:rsid w:val="0019636F"/>
    <w:rsid w:val="00196C52"/>
    <w:rsid w:val="001A0CC4"/>
    <w:rsid w:val="001A2234"/>
    <w:rsid w:val="001A37A6"/>
    <w:rsid w:val="001A3FAF"/>
    <w:rsid w:val="001A4486"/>
    <w:rsid w:val="001A4B9C"/>
    <w:rsid w:val="001A74A6"/>
    <w:rsid w:val="001B02B9"/>
    <w:rsid w:val="001B4F04"/>
    <w:rsid w:val="001B60D5"/>
    <w:rsid w:val="001C60D8"/>
    <w:rsid w:val="001C758D"/>
    <w:rsid w:val="001C7673"/>
    <w:rsid w:val="001D160C"/>
    <w:rsid w:val="001D1E5B"/>
    <w:rsid w:val="001D1E72"/>
    <w:rsid w:val="001D23BF"/>
    <w:rsid w:val="001D2C6A"/>
    <w:rsid w:val="001D3BA5"/>
    <w:rsid w:val="001D6CE3"/>
    <w:rsid w:val="001E028D"/>
    <w:rsid w:val="001E0630"/>
    <w:rsid w:val="001E09FE"/>
    <w:rsid w:val="001E0A23"/>
    <w:rsid w:val="001E1B0C"/>
    <w:rsid w:val="001E4A8D"/>
    <w:rsid w:val="001E64D4"/>
    <w:rsid w:val="001F0469"/>
    <w:rsid w:val="001F086E"/>
    <w:rsid w:val="001F10EB"/>
    <w:rsid w:val="001F2821"/>
    <w:rsid w:val="001F3A0A"/>
    <w:rsid w:val="002038E2"/>
    <w:rsid w:val="00204067"/>
    <w:rsid w:val="00204C36"/>
    <w:rsid w:val="002106F6"/>
    <w:rsid w:val="00210CC3"/>
    <w:rsid w:val="00210F65"/>
    <w:rsid w:val="002112F2"/>
    <w:rsid w:val="002115B6"/>
    <w:rsid w:val="002115E6"/>
    <w:rsid w:val="00212554"/>
    <w:rsid w:val="00214857"/>
    <w:rsid w:val="002148DE"/>
    <w:rsid w:val="00215B4B"/>
    <w:rsid w:val="002164DA"/>
    <w:rsid w:val="0021738A"/>
    <w:rsid w:val="00221C4C"/>
    <w:rsid w:val="002262F5"/>
    <w:rsid w:val="0022669C"/>
    <w:rsid w:val="0022799C"/>
    <w:rsid w:val="00234299"/>
    <w:rsid w:val="00234F96"/>
    <w:rsid w:val="00235885"/>
    <w:rsid w:val="00235C47"/>
    <w:rsid w:val="00241BD6"/>
    <w:rsid w:val="00242473"/>
    <w:rsid w:val="0024446F"/>
    <w:rsid w:val="00247487"/>
    <w:rsid w:val="00253DD9"/>
    <w:rsid w:val="00256D1F"/>
    <w:rsid w:val="00260DBD"/>
    <w:rsid w:val="00260F64"/>
    <w:rsid w:val="002613B6"/>
    <w:rsid w:val="00261644"/>
    <w:rsid w:val="00263F8C"/>
    <w:rsid w:val="0026428F"/>
    <w:rsid w:val="0026642F"/>
    <w:rsid w:val="00270E3D"/>
    <w:rsid w:val="00272924"/>
    <w:rsid w:val="0027477A"/>
    <w:rsid w:val="00274ADD"/>
    <w:rsid w:val="00274C44"/>
    <w:rsid w:val="002763E1"/>
    <w:rsid w:val="002826CA"/>
    <w:rsid w:val="00283231"/>
    <w:rsid w:val="00284BF9"/>
    <w:rsid w:val="002860EF"/>
    <w:rsid w:val="002871F5"/>
    <w:rsid w:val="00290826"/>
    <w:rsid w:val="00291746"/>
    <w:rsid w:val="00293E63"/>
    <w:rsid w:val="0029470F"/>
    <w:rsid w:val="00294B98"/>
    <w:rsid w:val="0029509A"/>
    <w:rsid w:val="00295838"/>
    <w:rsid w:val="002959DC"/>
    <w:rsid w:val="002967E7"/>
    <w:rsid w:val="00296813"/>
    <w:rsid w:val="00297109"/>
    <w:rsid w:val="002A0229"/>
    <w:rsid w:val="002A08C6"/>
    <w:rsid w:val="002A4144"/>
    <w:rsid w:val="002A48F3"/>
    <w:rsid w:val="002A6B8E"/>
    <w:rsid w:val="002B3A20"/>
    <w:rsid w:val="002B45A7"/>
    <w:rsid w:val="002B45AB"/>
    <w:rsid w:val="002C19F1"/>
    <w:rsid w:val="002C3786"/>
    <w:rsid w:val="002C5D03"/>
    <w:rsid w:val="002C67FA"/>
    <w:rsid w:val="002D1527"/>
    <w:rsid w:val="002D1A49"/>
    <w:rsid w:val="002D3776"/>
    <w:rsid w:val="002D3F07"/>
    <w:rsid w:val="002D4A93"/>
    <w:rsid w:val="002D55F5"/>
    <w:rsid w:val="002D747C"/>
    <w:rsid w:val="002E30B9"/>
    <w:rsid w:val="002E3DC5"/>
    <w:rsid w:val="002E4C6F"/>
    <w:rsid w:val="002E6842"/>
    <w:rsid w:val="002F0392"/>
    <w:rsid w:val="002F1CA6"/>
    <w:rsid w:val="002F32FB"/>
    <w:rsid w:val="003018D6"/>
    <w:rsid w:val="0030656C"/>
    <w:rsid w:val="00307DF5"/>
    <w:rsid w:val="00310F9A"/>
    <w:rsid w:val="00312675"/>
    <w:rsid w:val="0031373D"/>
    <w:rsid w:val="00314858"/>
    <w:rsid w:val="00316C19"/>
    <w:rsid w:val="0032162A"/>
    <w:rsid w:val="003264CE"/>
    <w:rsid w:val="00326653"/>
    <w:rsid w:val="003277DB"/>
    <w:rsid w:val="003306AD"/>
    <w:rsid w:val="00333330"/>
    <w:rsid w:val="00335006"/>
    <w:rsid w:val="00335123"/>
    <w:rsid w:val="0033596C"/>
    <w:rsid w:val="0034067E"/>
    <w:rsid w:val="00341940"/>
    <w:rsid w:val="00342A90"/>
    <w:rsid w:val="00351E33"/>
    <w:rsid w:val="0035333E"/>
    <w:rsid w:val="00353F9D"/>
    <w:rsid w:val="0035458D"/>
    <w:rsid w:val="003567CD"/>
    <w:rsid w:val="00356D53"/>
    <w:rsid w:val="003576A5"/>
    <w:rsid w:val="00357B94"/>
    <w:rsid w:val="00363D48"/>
    <w:rsid w:val="00364D50"/>
    <w:rsid w:val="00365C69"/>
    <w:rsid w:val="00367475"/>
    <w:rsid w:val="003724EE"/>
    <w:rsid w:val="00380F05"/>
    <w:rsid w:val="003835F2"/>
    <w:rsid w:val="00385853"/>
    <w:rsid w:val="003903DB"/>
    <w:rsid w:val="00390B72"/>
    <w:rsid w:val="0039247E"/>
    <w:rsid w:val="00393497"/>
    <w:rsid w:val="003A1CA1"/>
    <w:rsid w:val="003A1DCC"/>
    <w:rsid w:val="003A2D0C"/>
    <w:rsid w:val="003A3164"/>
    <w:rsid w:val="003A357A"/>
    <w:rsid w:val="003A3783"/>
    <w:rsid w:val="003A46B1"/>
    <w:rsid w:val="003A564D"/>
    <w:rsid w:val="003A5986"/>
    <w:rsid w:val="003A618A"/>
    <w:rsid w:val="003A7A9D"/>
    <w:rsid w:val="003B1225"/>
    <w:rsid w:val="003B3A4A"/>
    <w:rsid w:val="003B5D8B"/>
    <w:rsid w:val="003B7B6C"/>
    <w:rsid w:val="003C135B"/>
    <w:rsid w:val="003C377A"/>
    <w:rsid w:val="003C37AD"/>
    <w:rsid w:val="003C37BD"/>
    <w:rsid w:val="003C414F"/>
    <w:rsid w:val="003C57BD"/>
    <w:rsid w:val="003C5E93"/>
    <w:rsid w:val="003C7020"/>
    <w:rsid w:val="003C7564"/>
    <w:rsid w:val="003D3EB4"/>
    <w:rsid w:val="003D5757"/>
    <w:rsid w:val="003E1F96"/>
    <w:rsid w:val="003E33C5"/>
    <w:rsid w:val="003E3CB5"/>
    <w:rsid w:val="003E3F21"/>
    <w:rsid w:val="003F1FEC"/>
    <w:rsid w:val="003F2AA1"/>
    <w:rsid w:val="003F3AB8"/>
    <w:rsid w:val="00402980"/>
    <w:rsid w:val="00405382"/>
    <w:rsid w:val="0040626F"/>
    <w:rsid w:val="00411AC4"/>
    <w:rsid w:val="004125E6"/>
    <w:rsid w:val="004131F5"/>
    <w:rsid w:val="004135AA"/>
    <w:rsid w:val="00413C13"/>
    <w:rsid w:val="0041441A"/>
    <w:rsid w:val="00430387"/>
    <w:rsid w:val="00430D13"/>
    <w:rsid w:val="00434B27"/>
    <w:rsid w:val="00437658"/>
    <w:rsid w:val="0043785F"/>
    <w:rsid w:val="00440A97"/>
    <w:rsid w:val="0044340A"/>
    <w:rsid w:val="00446B9A"/>
    <w:rsid w:val="004511D9"/>
    <w:rsid w:val="004514CD"/>
    <w:rsid w:val="00462E71"/>
    <w:rsid w:val="004655AF"/>
    <w:rsid w:val="00470D26"/>
    <w:rsid w:val="00472D81"/>
    <w:rsid w:val="00476178"/>
    <w:rsid w:val="00482ED1"/>
    <w:rsid w:val="004839A7"/>
    <w:rsid w:val="0048459F"/>
    <w:rsid w:val="0048477E"/>
    <w:rsid w:val="004879E7"/>
    <w:rsid w:val="00490EEB"/>
    <w:rsid w:val="004951DD"/>
    <w:rsid w:val="004A5541"/>
    <w:rsid w:val="004A5F7F"/>
    <w:rsid w:val="004A6035"/>
    <w:rsid w:val="004A7F74"/>
    <w:rsid w:val="004B05FD"/>
    <w:rsid w:val="004B45A4"/>
    <w:rsid w:val="004B4AE4"/>
    <w:rsid w:val="004C08CD"/>
    <w:rsid w:val="004C2DB4"/>
    <w:rsid w:val="004C39D2"/>
    <w:rsid w:val="004C4ED8"/>
    <w:rsid w:val="004D15B2"/>
    <w:rsid w:val="004D6240"/>
    <w:rsid w:val="004E4076"/>
    <w:rsid w:val="004E55D6"/>
    <w:rsid w:val="004E6699"/>
    <w:rsid w:val="004F09DC"/>
    <w:rsid w:val="004F0A81"/>
    <w:rsid w:val="004F4AAB"/>
    <w:rsid w:val="004F51BB"/>
    <w:rsid w:val="004F5C3F"/>
    <w:rsid w:val="004F690F"/>
    <w:rsid w:val="004F6EF2"/>
    <w:rsid w:val="004F7862"/>
    <w:rsid w:val="00501C07"/>
    <w:rsid w:val="00502553"/>
    <w:rsid w:val="00503DEB"/>
    <w:rsid w:val="005113A4"/>
    <w:rsid w:val="00512EEC"/>
    <w:rsid w:val="00515B73"/>
    <w:rsid w:val="00516A9E"/>
    <w:rsid w:val="005209D9"/>
    <w:rsid w:val="00526555"/>
    <w:rsid w:val="0052704B"/>
    <w:rsid w:val="0053367E"/>
    <w:rsid w:val="00533AFD"/>
    <w:rsid w:val="0053455E"/>
    <w:rsid w:val="00535CCC"/>
    <w:rsid w:val="005360D1"/>
    <w:rsid w:val="00537DF7"/>
    <w:rsid w:val="00542B85"/>
    <w:rsid w:val="0054400B"/>
    <w:rsid w:val="00545852"/>
    <w:rsid w:val="00546A22"/>
    <w:rsid w:val="00550DF9"/>
    <w:rsid w:val="00551DBB"/>
    <w:rsid w:val="00553A61"/>
    <w:rsid w:val="00554141"/>
    <w:rsid w:val="00557A7C"/>
    <w:rsid w:val="005607E7"/>
    <w:rsid w:val="005619AC"/>
    <w:rsid w:val="00566FB4"/>
    <w:rsid w:val="00571ED7"/>
    <w:rsid w:val="00572690"/>
    <w:rsid w:val="005749DD"/>
    <w:rsid w:val="005754FB"/>
    <w:rsid w:val="005764BB"/>
    <w:rsid w:val="005803E0"/>
    <w:rsid w:val="00580D94"/>
    <w:rsid w:val="005826E3"/>
    <w:rsid w:val="00584956"/>
    <w:rsid w:val="0058516C"/>
    <w:rsid w:val="00585F51"/>
    <w:rsid w:val="00586B93"/>
    <w:rsid w:val="00586E85"/>
    <w:rsid w:val="00590356"/>
    <w:rsid w:val="00591F25"/>
    <w:rsid w:val="00593ADA"/>
    <w:rsid w:val="005940F1"/>
    <w:rsid w:val="005A1029"/>
    <w:rsid w:val="005A16CF"/>
    <w:rsid w:val="005A42C0"/>
    <w:rsid w:val="005A48B7"/>
    <w:rsid w:val="005A4FFC"/>
    <w:rsid w:val="005A53DD"/>
    <w:rsid w:val="005B0C3C"/>
    <w:rsid w:val="005B1D11"/>
    <w:rsid w:val="005B2118"/>
    <w:rsid w:val="005B4F48"/>
    <w:rsid w:val="005B736D"/>
    <w:rsid w:val="005B73C6"/>
    <w:rsid w:val="005B764C"/>
    <w:rsid w:val="005B785B"/>
    <w:rsid w:val="005C0273"/>
    <w:rsid w:val="005C0923"/>
    <w:rsid w:val="005C5A9C"/>
    <w:rsid w:val="005D0F56"/>
    <w:rsid w:val="005D2612"/>
    <w:rsid w:val="005D7045"/>
    <w:rsid w:val="005E16B1"/>
    <w:rsid w:val="005E40B2"/>
    <w:rsid w:val="005E4AF6"/>
    <w:rsid w:val="005E4E6D"/>
    <w:rsid w:val="005E530C"/>
    <w:rsid w:val="005E53EB"/>
    <w:rsid w:val="005E642C"/>
    <w:rsid w:val="005E7FCD"/>
    <w:rsid w:val="005F2127"/>
    <w:rsid w:val="005F23BD"/>
    <w:rsid w:val="005F45B7"/>
    <w:rsid w:val="005F4A2E"/>
    <w:rsid w:val="00601FB2"/>
    <w:rsid w:val="0060235D"/>
    <w:rsid w:val="00602CD0"/>
    <w:rsid w:val="006034D7"/>
    <w:rsid w:val="006117E9"/>
    <w:rsid w:val="00612DA2"/>
    <w:rsid w:val="00616498"/>
    <w:rsid w:val="00621111"/>
    <w:rsid w:val="00622CE2"/>
    <w:rsid w:val="0062437C"/>
    <w:rsid w:val="00626465"/>
    <w:rsid w:val="00627134"/>
    <w:rsid w:val="0062741F"/>
    <w:rsid w:val="006318AA"/>
    <w:rsid w:val="00636183"/>
    <w:rsid w:val="006413FF"/>
    <w:rsid w:val="00641F96"/>
    <w:rsid w:val="00642282"/>
    <w:rsid w:val="00643572"/>
    <w:rsid w:val="006440A1"/>
    <w:rsid w:val="0064690A"/>
    <w:rsid w:val="006504CC"/>
    <w:rsid w:val="00652BBF"/>
    <w:rsid w:val="00654B85"/>
    <w:rsid w:val="00654CD5"/>
    <w:rsid w:val="00654D99"/>
    <w:rsid w:val="006602F0"/>
    <w:rsid w:val="0066053C"/>
    <w:rsid w:val="00660F6A"/>
    <w:rsid w:val="00661694"/>
    <w:rsid w:val="006638BC"/>
    <w:rsid w:val="0066466F"/>
    <w:rsid w:val="006656CF"/>
    <w:rsid w:val="00665D9B"/>
    <w:rsid w:val="006676A5"/>
    <w:rsid w:val="0067297A"/>
    <w:rsid w:val="00673A17"/>
    <w:rsid w:val="006741A1"/>
    <w:rsid w:val="00674262"/>
    <w:rsid w:val="006759E7"/>
    <w:rsid w:val="00675D1C"/>
    <w:rsid w:val="00680759"/>
    <w:rsid w:val="0068160E"/>
    <w:rsid w:val="00683E09"/>
    <w:rsid w:val="00686388"/>
    <w:rsid w:val="0069462A"/>
    <w:rsid w:val="00695978"/>
    <w:rsid w:val="00696C26"/>
    <w:rsid w:val="00696DB3"/>
    <w:rsid w:val="00697B5B"/>
    <w:rsid w:val="006A21B9"/>
    <w:rsid w:val="006A39EB"/>
    <w:rsid w:val="006A3BFF"/>
    <w:rsid w:val="006A4679"/>
    <w:rsid w:val="006A638A"/>
    <w:rsid w:val="006A6DD6"/>
    <w:rsid w:val="006B090D"/>
    <w:rsid w:val="006B0C29"/>
    <w:rsid w:val="006B13FC"/>
    <w:rsid w:val="006B2E92"/>
    <w:rsid w:val="006B3CC8"/>
    <w:rsid w:val="006B42C5"/>
    <w:rsid w:val="006B4910"/>
    <w:rsid w:val="006C479F"/>
    <w:rsid w:val="006D1E9A"/>
    <w:rsid w:val="006D4590"/>
    <w:rsid w:val="006E03B3"/>
    <w:rsid w:val="006E09C7"/>
    <w:rsid w:val="006E09E4"/>
    <w:rsid w:val="006E2279"/>
    <w:rsid w:val="006E2451"/>
    <w:rsid w:val="006E381A"/>
    <w:rsid w:val="006E466F"/>
    <w:rsid w:val="006E5272"/>
    <w:rsid w:val="006E5A34"/>
    <w:rsid w:val="006E7147"/>
    <w:rsid w:val="006F06BA"/>
    <w:rsid w:val="006F09B7"/>
    <w:rsid w:val="006F1150"/>
    <w:rsid w:val="006F229F"/>
    <w:rsid w:val="006F31B3"/>
    <w:rsid w:val="006F32C3"/>
    <w:rsid w:val="006F59B5"/>
    <w:rsid w:val="006F66F8"/>
    <w:rsid w:val="007003FC"/>
    <w:rsid w:val="00700640"/>
    <w:rsid w:val="00700671"/>
    <w:rsid w:val="007025B5"/>
    <w:rsid w:val="00703752"/>
    <w:rsid w:val="00704A64"/>
    <w:rsid w:val="00710173"/>
    <w:rsid w:val="00712E66"/>
    <w:rsid w:val="00713776"/>
    <w:rsid w:val="00713988"/>
    <w:rsid w:val="0071445D"/>
    <w:rsid w:val="007173CC"/>
    <w:rsid w:val="00717B94"/>
    <w:rsid w:val="00717BBA"/>
    <w:rsid w:val="00717E37"/>
    <w:rsid w:val="00720E42"/>
    <w:rsid w:val="007238A7"/>
    <w:rsid w:val="00727C3D"/>
    <w:rsid w:val="007324AD"/>
    <w:rsid w:val="00734453"/>
    <w:rsid w:val="007345A5"/>
    <w:rsid w:val="0073736C"/>
    <w:rsid w:val="00740E1E"/>
    <w:rsid w:val="0074114B"/>
    <w:rsid w:val="00741182"/>
    <w:rsid w:val="0074222F"/>
    <w:rsid w:val="00750504"/>
    <w:rsid w:val="0075361B"/>
    <w:rsid w:val="00753E65"/>
    <w:rsid w:val="007553F6"/>
    <w:rsid w:val="00755A3A"/>
    <w:rsid w:val="007573DB"/>
    <w:rsid w:val="0076065B"/>
    <w:rsid w:val="00762CA0"/>
    <w:rsid w:val="00765DD3"/>
    <w:rsid w:val="007708E9"/>
    <w:rsid w:val="00771CAC"/>
    <w:rsid w:val="007739C4"/>
    <w:rsid w:val="00773C7E"/>
    <w:rsid w:val="00775493"/>
    <w:rsid w:val="00775871"/>
    <w:rsid w:val="0078045A"/>
    <w:rsid w:val="007847D4"/>
    <w:rsid w:val="0078540A"/>
    <w:rsid w:val="00790080"/>
    <w:rsid w:val="007933E7"/>
    <w:rsid w:val="0079356E"/>
    <w:rsid w:val="00795B2E"/>
    <w:rsid w:val="007A010C"/>
    <w:rsid w:val="007A2103"/>
    <w:rsid w:val="007A3E92"/>
    <w:rsid w:val="007A543D"/>
    <w:rsid w:val="007B0006"/>
    <w:rsid w:val="007B08DD"/>
    <w:rsid w:val="007B1900"/>
    <w:rsid w:val="007B1FCA"/>
    <w:rsid w:val="007B2085"/>
    <w:rsid w:val="007B20C3"/>
    <w:rsid w:val="007B353E"/>
    <w:rsid w:val="007B40D2"/>
    <w:rsid w:val="007B48A5"/>
    <w:rsid w:val="007B68C4"/>
    <w:rsid w:val="007C035A"/>
    <w:rsid w:val="007C64D5"/>
    <w:rsid w:val="007C6E65"/>
    <w:rsid w:val="007D2C59"/>
    <w:rsid w:val="007D4BCB"/>
    <w:rsid w:val="007D4D67"/>
    <w:rsid w:val="007D763A"/>
    <w:rsid w:val="007E1886"/>
    <w:rsid w:val="007E24C0"/>
    <w:rsid w:val="007F01FB"/>
    <w:rsid w:val="007F10B8"/>
    <w:rsid w:val="007F459C"/>
    <w:rsid w:val="00800568"/>
    <w:rsid w:val="00801A82"/>
    <w:rsid w:val="00803261"/>
    <w:rsid w:val="00803B7D"/>
    <w:rsid w:val="008115B4"/>
    <w:rsid w:val="00811F50"/>
    <w:rsid w:val="00816902"/>
    <w:rsid w:val="00816A84"/>
    <w:rsid w:val="00816E11"/>
    <w:rsid w:val="0081712A"/>
    <w:rsid w:val="00817AAB"/>
    <w:rsid w:val="00821661"/>
    <w:rsid w:val="008232DA"/>
    <w:rsid w:val="00824CDA"/>
    <w:rsid w:val="00831CB7"/>
    <w:rsid w:val="0083220E"/>
    <w:rsid w:val="0083590E"/>
    <w:rsid w:val="00835934"/>
    <w:rsid w:val="00835F31"/>
    <w:rsid w:val="00844E53"/>
    <w:rsid w:val="00850DC6"/>
    <w:rsid w:val="00851AE1"/>
    <w:rsid w:val="00852EB9"/>
    <w:rsid w:val="008541AD"/>
    <w:rsid w:val="0085560E"/>
    <w:rsid w:val="00856EFC"/>
    <w:rsid w:val="00860173"/>
    <w:rsid w:val="00860FFC"/>
    <w:rsid w:val="008617BD"/>
    <w:rsid w:val="00863F93"/>
    <w:rsid w:val="00864848"/>
    <w:rsid w:val="00871B31"/>
    <w:rsid w:val="00872FDE"/>
    <w:rsid w:val="0087319C"/>
    <w:rsid w:val="0087332C"/>
    <w:rsid w:val="00875397"/>
    <w:rsid w:val="008805C7"/>
    <w:rsid w:val="00880F45"/>
    <w:rsid w:val="0088184B"/>
    <w:rsid w:val="008824F7"/>
    <w:rsid w:val="00883CFD"/>
    <w:rsid w:val="008871CF"/>
    <w:rsid w:val="00887EA3"/>
    <w:rsid w:val="00890A3D"/>
    <w:rsid w:val="008920C0"/>
    <w:rsid w:val="00895FD5"/>
    <w:rsid w:val="008A4A0A"/>
    <w:rsid w:val="008A63C0"/>
    <w:rsid w:val="008A7285"/>
    <w:rsid w:val="008B14EC"/>
    <w:rsid w:val="008B2133"/>
    <w:rsid w:val="008B41BB"/>
    <w:rsid w:val="008B57BA"/>
    <w:rsid w:val="008B620A"/>
    <w:rsid w:val="008C0446"/>
    <w:rsid w:val="008C1337"/>
    <w:rsid w:val="008C150B"/>
    <w:rsid w:val="008C348D"/>
    <w:rsid w:val="008C4785"/>
    <w:rsid w:val="008C60C4"/>
    <w:rsid w:val="008C78FD"/>
    <w:rsid w:val="008D183B"/>
    <w:rsid w:val="008D1B99"/>
    <w:rsid w:val="008D3ED4"/>
    <w:rsid w:val="008D5C83"/>
    <w:rsid w:val="008D7A85"/>
    <w:rsid w:val="008E1D67"/>
    <w:rsid w:val="008E511B"/>
    <w:rsid w:val="008E6834"/>
    <w:rsid w:val="008E7F6F"/>
    <w:rsid w:val="008F07F3"/>
    <w:rsid w:val="008F1C97"/>
    <w:rsid w:val="008F1F5B"/>
    <w:rsid w:val="008F2D16"/>
    <w:rsid w:val="008F54E5"/>
    <w:rsid w:val="0090184A"/>
    <w:rsid w:val="00907174"/>
    <w:rsid w:val="00912839"/>
    <w:rsid w:val="00913221"/>
    <w:rsid w:val="00913E76"/>
    <w:rsid w:val="009201F0"/>
    <w:rsid w:val="009214C1"/>
    <w:rsid w:val="0092176E"/>
    <w:rsid w:val="009222EE"/>
    <w:rsid w:val="00924A52"/>
    <w:rsid w:val="0092681F"/>
    <w:rsid w:val="00926841"/>
    <w:rsid w:val="00930A4B"/>
    <w:rsid w:val="0093120D"/>
    <w:rsid w:val="00933377"/>
    <w:rsid w:val="00935ECA"/>
    <w:rsid w:val="00943B4B"/>
    <w:rsid w:val="009471B5"/>
    <w:rsid w:val="009539B7"/>
    <w:rsid w:val="00954FD0"/>
    <w:rsid w:val="009553D7"/>
    <w:rsid w:val="00955D21"/>
    <w:rsid w:val="0096009B"/>
    <w:rsid w:val="00961DD1"/>
    <w:rsid w:val="00962F82"/>
    <w:rsid w:val="009700C2"/>
    <w:rsid w:val="009710FE"/>
    <w:rsid w:val="009731CC"/>
    <w:rsid w:val="009731E1"/>
    <w:rsid w:val="009759B7"/>
    <w:rsid w:val="009864C2"/>
    <w:rsid w:val="0098786C"/>
    <w:rsid w:val="009904AB"/>
    <w:rsid w:val="00994790"/>
    <w:rsid w:val="009965C7"/>
    <w:rsid w:val="009A0D76"/>
    <w:rsid w:val="009A5216"/>
    <w:rsid w:val="009B5A6D"/>
    <w:rsid w:val="009B72A3"/>
    <w:rsid w:val="009B7FCE"/>
    <w:rsid w:val="009C107C"/>
    <w:rsid w:val="009C1CC1"/>
    <w:rsid w:val="009C2E0B"/>
    <w:rsid w:val="009C2FCB"/>
    <w:rsid w:val="009C62FD"/>
    <w:rsid w:val="009D0837"/>
    <w:rsid w:val="009D18B4"/>
    <w:rsid w:val="009D4323"/>
    <w:rsid w:val="009D65DA"/>
    <w:rsid w:val="009E0B73"/>
    <w:rsid w:val="009E13D3"/>
    <w:rsid w:val="009E28A2"/>
    <w:rsid w:val="009E3A24"/>
    <w:rsid w:val="009E52DC"/>
    <w:rsid w:val="009E6BC6"/>
    <w:rsid w:val="009F1DCF"/>
    <w:rsid w:val="009F22F5"/>
    <w:rsid w:val="009F3547"/>
    <w:rsid w:val="009F3D20"/>
    <w:rsid w:val="009F46BB"/>
    <w:rsid w:val="009F49C5"/>
    <w:rsid w:val="009F4BC0"/>
    <w:rsid w:val="009F6352"/>
    <w:rsid w:val="009F7B2F"/>
    <w:rsid w:val="00A04778"/>
    <w:rsid w:val="00A0597F"/>
    <w:rsid w:val="00A07121"/>
    <w:rsid w:val="00A07A2F"/>
    <w:rsid w:val="00A10EF9"/>
    <w:rsid w:val="00A11999"/>
    <w:rsid w:val="00A11A94"/>
    <w:rsid w:val="00A13869"/>
    <w:rsid w:val="00A13F10"/>
    <w:rsid w:val="00A14E9F"/>
    <w:rsid w:val="00A15CF0"/>
    <w:rsid w:val="00A17052"/>
    <w:rsid w:val="00A178D0"/>
    <w:rsid w:val="00A17F6D"/>
    <w:rsid w:val="00A2007E"/>
    <w:rsid w:val="00A204C0"/>
    <w:rsid w:val="00A22B84"/>
    <w:rsid w:val="00A22B9A"/>
    <w:rsid w:val="00A24722"/>
    <w:rsid w:val="00A27C02"/>
    <w:rsid w:val="00A337E2"/>
    <w:rsid w:val="00A33982"/>
    <w:rsid w:val="00A35220"/>
    <w:rsid w:val="00A37005"/>
    <w:rsid w:val="00A4241B"/>
    <w:rsid w:val="00A43325"/>
    <w:rsid w:val="00A46F11"/>
    <w:rsid w:val="00A47782"/>
    <w:rsid w:val="00A47C01"/>
    <w:rsid w:val="00A502A4"/>
    <w:rsid w:val="00A50329"/>
    <w:rsid w:val="00A50342"/>
    <w:rsid w:val="00A526E8"/>
    <w:rsid w:val="00A528A1"/>
    <w:rsid w:val="00A53AF7"/>
    <w:rsid w:val="00A53B7B"/>
    <w:rsid w:val="00A574F7"/>
    <w:rsid w:val="00A62B54"/>
    <w:rsid w:val="00A64187"/>
    <w:rsid w:val="00A712FA"/>
    <w:rsid w:val="00A721FA"/>
    <w:rsid w:val="00A72EC7"/>
    <w:rsid w:val="00A73801"/>
    <w:rsid w:val="00A73E63"/>
    <w:rsid w:val="00A74F2D"/>
    <w:rsid w:val="00A77352"/>
    <w:rsid w:val="00A82EB0"/>
    <w:rsid w:val="00A84A0E"/>
    <w:rsid w:val="00A84C01"/>
    <w:rsid w:val="00A857B3"/>
    <w:rsid w:val="00A877E5"/>
    <w:rsid w:val="00A92EE3"/>
    <w:rsid w:val="00A94FC2"/>
    <w:rsid w:val="00A9570D"/>
    <w:rsid w:val="00A97E19"/>
    <w:rsid w:val="00AA0029"/>
    <w:rsid w:val="00AA0D64"/>
    <w:rsid w:val="00AA3B3B"/>
    <w:rsid w:val="00AA45D1"/>
    <w:rsid w:val="00AB3340"/>
    <w:rsid w:val="00AB3B68"/>
    <w:rsid w:val="00AB730E"/>
    <w:rsid w:val="00AC0BFC"/>
    <w:rsid w:val="00AC185A"/>
    <w:rsid w:val="00AC1C1F"/>
    <w:rsid w:val="00AC6138"/>
    <w:rsid w:val="00AC760D"/>
    <w:rsid w:val="00AD1CB1"/>
    <w:rsid w:val="00AD3DBE"/>
    <w:rsid w:val="00AE083B"/>
    <w:rsid w:val="00AE3648"/>
    <w:rsid w:val="00AF24AB"/>
    <w:rsid w:val="00AF4A11"/>
    <w:rsid w:val="00AF5B88"/>
    <w:rsid w:val="00AF69CA"/>
    <w:rsid w:val="00AF70AD"/>
    <w:rsid w:val="00AF7A96"/>
    <w:rsid w:val="00B02120"/>
    <w:rsid w:val="00B1094D"/>
    <w:rsid w:val="00B11277"/>
    <w:rsid w:val="00B11761"/>
    <w:rsid w:val="00B1229F"/>
    <w:rsid w:val="00B14897"/>
    <w:rsid w:val="00B14A1C"/>
    <w:rsid w:val="00B16271"/>
    <w:rsid w:val="00B175CA"/>
    <w:rsid w:val="00B179EF"/>
    <w:rsid w:val="00B24ECB"/>
    <w:rsid w:val="00B2532B"/>
    <w:rsid w:val="00B26C60"/>
    <w:rsid w:val="00B26C89"/>
    <w:rsid w:val="00B27513"/>
    <w:rsid w:val="00B33E88"/>
    <w:rsid w:val="00B34C98"/>
    <w:rsid w:val="00B35E1B"/>
    <w:rsid w:val="00B36674"/>
    <w:rsid w:val="00B379A7"/>
    <w:rsid w:val="00B44E37"/>
    <w:rsid w:val="00B4524F"/>
    <w:rsid w:val="00B46195"/>
    <w:rsid w:val="00B502A8"/>
    <w:rsid w:val="00B52E34"/>
    <w:rsid w:val="00B52F27"/>
    <w:rsid w:val="00B53509"/>
    <w:rsid w:val="00B53D42"/>
    <w:rsid w:val="00B568E1"/>
    <w:rsid w:val="00B61892"/>
    <w:rsid w:val="00B66736"/>
    <w:rsid w:val="00B66872"/>
    <w:rsid w:val="00B67EEE"/>
    <w:rsid w:val="00B711BF"/>
    <w:rsid w:val="00B7138A"/>
    <w:rsid w:val="00B7258D"/>
    <w:rsid w:val="00B7480E"/>
    <w:rsid w:val="00B8191F"/>
    <w:rsid w:val="00B82ACE"/>
    <w:rsid w:val="00B91D02"/>
    <w:rsid w:val="00B92935"/>
    <w:rsid w:val="00B93A74"/>
    <w:rsid w:val="00B95255"/>
    <w:rsid w:val="00B97F41"/>
    <w:rsid w:val="00BA004A"/>
    <w:rsid w:val="00BA080A"/>
    <w:rsid w:val="00BA2CAE"/>
    <w:rsid w:val="00BA3ADC"/>
    <w:rsid w:val="00BA5228"/>
    <w:rsid w:val="00BA6CBD"/>
    <w:rsid w:val="00BA7C89"/>
    <w:rsid w:val="00BB1B3F"/>
    <w:rsid w:val="00BB5483"/>
    <w:rsid w:val="00BB54DB"/>
    <w:rsid w:val="00BB63DF"/>
    <w:rsid w:val="00BB7F42"/>
    <w:rsid w:val="00BC017A"/>
    <w:rsid w:val="00BC1101"/>
    <w:rsid w:val="00BC2B0C"/>
    <w:rsid w:val="00BC3943"/>
    <w:rsid w:val="00BC5042"/>
    <w:rsid w:val="00BC5EB6"/>
    <w:rsid w:val="00BC5EDC"/>
    <w:rsid w:val="00BC7905"/>
    <w:rsid w:val="00BD2C1C"/>
    <w:rsid w:val="00BD3897"/>
    <w:rsid w:val="00BD3907"/>
    <w:rsid w:val="00BD3B6F"/>
    <w:rsid w:val="00BD4C37"/>
    <w:rsid w:val="00BE4E4B"/>
    <w:rsid w:val="00BE56A4"/>
    <w:rsid w:val="00BE770F"/>
    <w:rsid w:val="00BF0E05"/>
    <w:rsid w:val="00BF0FF7"/>
    <w:rsid w:val="00BF1041"/>
    <w:rsid w:val="00BF108D"/>
    <w:rsid w:val="00BF15CC"/>
    <w:rsid w:val="00BF4EF0"/>
    <w:rsid w:val="00BF55CE"/>
    <w:rsid w:val="00C00554"/>
    <w:rsid w:val="00C0574C"/>
    <w:rsid w:val="00C06AAE"/>
    <w:rsid w:val="00C06C5A"/>
    <w:rsid w:val="00C136C0"/>
    <w:rsid w:val="00C1522A"/>
    <w:rsid w:val="00C1678B"/>
    <w:rsid w:val="00C1679B"/>
    <w:rsid w:val="00C22C81"/>
    <w:rsid w:val="00C249DD"/>
    <w:rsid w:val="00C24C24"/>
    <w:rsid w:val="00C24D59"/>
    <w:rsid w:val="00C25098"/>
    <w:rsid w:val="00C266AD"/>
    <w:rsid w:val="00C41A40"/>
    <w:rsid w:val="00C42542"/>
    <w:rsid w:val="00C428C4"/>
    <w:rsid w:val="00C43725"/>
    <w:rsid w:val="00C43961"/>
    <w:rsid w:val="00C44B93"/>
    <w:rsid w:val="00C457B2"/>
    <w:rsid w:val="00C46DC4"/>
    <w:rsid w:val="00C46EAC"/>
    <w:rsid w:val="00C477CE"/>
    <w:rsid w:val="00C47940"/>
    <w:rsid w:val="00C5423C"/>
    <w:rsid w:val="00C62B6A"/>
    <w:rsid w:val="00C6617E"/>
    <w:rsid w:val="00C672EA"/>
    <w:rsid w:val="00C67CEE"/>
    <w:rsid w:val="00C70CD4"/>
    <w:rsid w:val="00C7145C"/>
    <w:rsid w:val="00C71E5B"/>
    <w:rsid w:val="00C72906"/>
    <w:rsid w:val="00C73578"/>
    <w:rsid w:val="00C73FC7"/>
    <w:rsid w:val="00C74DEB"/>
    <w:rsid w:val="00C76F0E"/>
    <w:rsid w:val="00C77617"/>
    <w:rsid w:val="00C77B54"/>
    <w:rsid w:val="00C826DC"/>
    <w:rsid w:val="00C82D99"/>
    <w:rsid w:val="00C85D45"/>
    <w:rsid w:val="00C863E6"/>
    <w:rsid w:val="00C901CD"/>
    <w:rsid w:val="00C91386"/>
    <w:rsid w:val="00C979E8"/>
    <w:rsid w:val="00CA3A2C"/>
    <w:rsid w:val="00CA63BE"/>
    <w:rsid w:val="00CA7DEA"/>
    <w:rsid w:val="00CB0326"/>
    <w:rsid w:val="00CB0AED"/>
    <w:rsid w:val="00CB1305"/>
    <w:rsid w:val="00CB48B0"/>
    <w:rsid w:val="00CB71AB"/>
    <w:rsid w:val="00CB7319"/>
    <w:rsid w:val="00CC00DF"/>
    <w:rsid w:val="00CC033D"/>
    <w:rsid w:val="00CC0CA8"/>
    <w:rsid w:val="00CC1A1F"/>
    <w:rsid w:val="00CC253C"/>
    <w:rsid w:val="00CC308B"/>
    <w:rsid w:val="00CC49B7"/>
    <w:rsid w:val="00CC4A30"/>
    <w:rsid w:val="00CC630A"/>
    <w:rsid w:val="00CC6B12"/>
    <w:rsid w:val="00CC7166"/>
    <w:rsid w:val="00CC793A"/>
    <w:rsid w:val="00CD02B1"/>
    <w:rsid w:val="00CD392C"/>
    <w:rsid w:val="00CD403D"/>
    <w:rsid w:val="00CD412C"/>
    <w:rsid w:val="00CD441E"/>
    <w:rsid w:val="00CD5DF3"/>
    <w:rsid w:val="00CE3026"/>
    <w:rsid w:val="00CE3039"/>
    <w:rsid w:val="00CE6829"/>
    <w:rsid w:val="00CE7BF5"/>
    <w:rsid w:val="00CF01F1"/>
    <w:rsid w:val="00CF1446"/>
    <w:rsid w:val="00CF1581"/>
    <w:rsid w:val="00CF184D"/>
    <w:rsid w:val="00CF2EA3"/>
    <w:rsid w:val="00CF5B8C"/>
    <w:rsid w:val="00CF6100"/>
    <w:rsid w:val="00D00CFE"/>
    <w:rsid w:val="00D02AC0"/>
    <w:rsid w:val="00D077C0"/>
    <w:rsid w:val="00D12782"/>
    <w:rsid w:val="00D136FC"/>
    <w:rsid w:val="00D16CBB"/>
    <w:rsid w:val="00D21C98"/>
    <w:rsid w:val="00D24CB2"/>
    <w:rsid w:val="00D279BF"/>
    <w:rsid w:val="00D27D8C"/>
    <w:rsid w:val="00D305F0"/>
    <w:rsid w:val="00D31707"/>
    <w:rsid w:val="00D3468C"/>
    <w:rsid w:val="00D41275"/>
    <w:rsid w:val="00D42E2A"/>
    <w:rsid w:val="00D45C4D"/>
    <w:rsid w:val="00D45F75"/>
    <w:rsid w:val="00D4670A"/>
    <w:rsid w:val="00D47AA2"/>
    <w:rsid w:val="00D51B12"/>
    <w:rsid w:val="00D558FE"/>
    <w:rsid w:val="00D56A53"/>
    <w:rsid w:val="00D6277C"/>
    <w:rsid w:val="00D659D6"/>
    <w:rsid w:val="00D73DD7"/>
    <w:rsid w:val="00D743A0"/>
    <w:rsid w:val="00D805D6"/>
    <w:rsid w:val="00D80F13"/>
    <w:rsid w:val="00D83638"/>
    <w:rsid w:val="00D858FD"/>
    <w:rsid w:val="00D861A4"/>
    <w:rsid w:val="00D87711"/>
    <w:rsid w:val="00D87992"/>
    <w:rsid w:val="00D9142E"/>
    <w:rsid w:val="00D94946"/>
    <w:rsid w:val="00D94F69"/>
    <w:rsid w:val="00DA054A"/>
    <w:rsid w:val="00DA663D"/>
    <w:rsid w:val="00DA734C"/>
    <w:rsid w:val="00DB19EB"/>
    <w:rsid w:val="00DB2486"/>
    <w:rsid w:val="00DB4D17"/>
    <w:rsid w:val="00DB576B"/>
    <w:rsid w:val="00DB5C14"/>
    <w:rsid w:val="00DB5F85"/>
    <w:rsid w:val="00DB60F2"/>
    <w:rsid w:val="00DB717F"/>
    <w:rsid w:val="00DC44D4"/>
    <w:rsid w:val="00DC526A"/>
    <w:rsid w:val="00DC52E8"/>
    <w:rsid w:val="00DD00F0"/>
    <w:rsid w:val="00DD32ED"/>
    <w:rsid w:val="00DD3FFC"/>
    <w:rsid w:val="00DD420D"/>
    <w:rsid w:val="00DD68DB"/>
    <w:rsid w:val="00DD6B69"/>
    <w:rsid w:val="00DD7B04"/>
    <w:rsid w:val="00DE36DB"/>
    <w:rsid w:val="00DE3945"/>
    <w:rsid w:val="00DF00C5"/>
    <w:rsid w:val="00DF1744"/>
    <w:rsid w:val="00DF350F"/>
    <w:rsid w:val="00DF4183"/>
    <w:rsid w:val="00DF6297"/>
    <w:rsid w:val="00E00FE2"/>
    <w:rsid w:val="00E0120F"/>
    <w:rsid w:val="00E013CC"/>
    <w:rsid w:val="00E01789"/>
    <w:rsid w:val="00E07C03"/>
    <w:rsid w:val="00E128D0"/>
    <w:rsid w:val="00E12F7D"/>
    <w:rsid w:val="00E150D6"/>
    <w:rsid w:val="00E15553"/>
    <w:rsid w:val="00E164C6"/>
    <w:rsid w:val="00E176F0"/>
    <w:rsid w:val="00E21CFA"/>
    <w:rsid w:val="00E22F55"/>
    <w:rsid w:val="00E23332"/>
    <w:rsid w:val="00E259A3"/>
    <w:rsid w:val="00E32580"/>
    <w:rsid w:val="00E33920"/>
    <w:rsid w:val="00E357C0"/>
    <w:rsid w:val="00E35A54"/>
    <w:rsid w:val="00E37BAE"/>
    <w:rsid w:val="00E40A0C"/>
    <w:rsid w:val="00E40ED3"/>
    <w:rsid w:val="00E40F93"/>
    <w:rsid w:val="00E4716E"/>
    <w:rsid w:val="00E47AF6"/>
    <w:rsid w:val="00E47D7F"/>
    <w:rsid w:val="00E507BA"/>
    <w:rsid w:val="00E513DE"/>
    <w:rsid w:val="00E62009"/>
    <w:rsid w:val="00E62D31"/>
    <w:rsid w:val="00E6300A"/>
    <w:rsid w:val="00E65615"/>
    <w:rsid w:val="00E67E37"/>
    <w:rsid w:val="00E70063"/>
    <w:rsid w:val="00E755F2"/>
    <w:rsid w:val="00E7648B"/>
    <w:rsid w:val="00E767D8"/>
    <w:rsid w:val="00E77351"/>
    <w:rsid w:val="00E812D8"/>
    <w:rsid w:val="00E86CC8"/>
    <w:rsid w:val="00E91E56"/>
    <w:rsid w:val="00E942C7"/>
    <w:rsid w:val="00E958F0"/>
    <w:rsid w:val="00E962BC"/>
    <w:rsid w:val="00E962F0"/>
    <w:rsid w:val="00E9715F"/>
    <w:rsid w:val="00EA243D"/>
    <w:rsid w:val="00EA349F"/>
    <w:rsid w:val="00EA7FF4"/>
    <w:rsid w:val="00EB45C6"/>
    <w:rsid w:val="00EB4F7A"/>
    <w:rsid w:val="00EB607F"/>
    <w:rsid w:val="00EB6AAC"/>
    <w:rsid w:val="00EB77A0"/>
    <w:rsid w:val="00EB7C7E"/>
    <w:rsid w:val="00EC18D8"/>
    <w:rsid w:val="00EC31CF"/>
    <w:rsid w:val="00EC5FCD"/>
    <w:rsid w:val="00EC70A1"/>
    <w:rsid w:val="00ED175C"/>
    <w:rsid w:val="00ED2592"/>
    <w:rsid w:val="00ED767A"/>
    <w:rsid w:val="00EE1A19"/>
    <w:rsid w:val="00EE294C"/>
    <w:rsid w:val="00EE52B6"/>
    <w:rsid w:val="00EE741C"/>
    <w:rsid w:val="00EF06EC"/>
    <w:rsid w:val="00EF1775"/>
    <w:rsid w:val="00EF33A1"/>
    <w:rsid w:val="00EF47BD"/>
    <w:rsid w:val="00EF6701"/>
    <w:rsid w:val="00EF791F"/>
    <w:rsid w:val="00F0197E"/>
    <w:rsid w:val="00F05059"/>
    <w:rsid w:val="00F05079"/>
    <w:rsid w:val="00F11A5B"/>
    <w:rsid w:val="00F12E26"/>
    <w:rsid w:val="00F1436B"/>
    <w:rsid w:val="00F16217"/>
    <w:rsid w:val="00F178D7"/>
    <w:rsid w:val="00F179F0"/>
    <w:rsid w:val="00F230A1"/>
    <w:rsid w:val="00F23DFE"/>
    <w:rsid w:val="00F2569F"/>
    <w:rsid w:val="00F275AC"/>
    <w:rsid w:val="00F30852"/>
    <w:rsid w:val="00F31573"/>
    <w:rsid w:val="00F32750"/>
    <w:rsid w:val="00F36344"/>
    <w:rsid w:val="00F36D6D"/>
    <w:rsid w:val="00F37713"/>
    <w:rsid w:val="00F37750"/>
    <w:rsid w:val="00F37F5E"/>
    <w:rsid w:val="00F430B2"/>
    <w:rsid w:val="00F43786"/>
    <w:rsid w:val="00F43871"/>
    <w:rsid w:val="00F5008F"/>
    <w:rsid w:val="00F5053B"/>
    <w:rsid w:val="00F52A92"/>
    <w:rsid w:val="00F56F5F"/>
    <w:rsid w:val="00F61E62"/>
    <w:rsid w:val="00F621BC"/>
    <w:rsid w:val="00F647ED"/>
    <w:rsid w:val="00F65DCB"/>
    <w:rsid w:val="00F65EE9"/>
    <w:rsid w:val="00F66F17"/>
    <w:rsid w:val="00F70219"/>
    <w:rsid w:val="00F727B3"/>
    <w:rsid w:val="00F74828"/>
    <w:rsid w:val="00F74920"/>
    <w:rsid w:val="00F76AF7"/>
    <w:rsid w:val="00F77D21"/>
    <w:rsid w:val="00F81980"/>
    <w:rsid w:val="00F91AFF"/>
    <w:rsid w:val="00F91C70"/>
    <w:rsid w:val="00F936C4"/>
    <w:rsid w:val="00F94F73"/>
    <w:rsid w:val="00F97E1C"/>
    <w:rsid w:val="00F97F5C"/>
    <w:rsid w:val="00FA263B"/>
    <w:rsid w:val="00FA310D"/>
    <w:rsid w:val="00FA4300"/>
    <w:rsid w:val="00FA63DF"/>
    <w:rsid w:val="00FB1ECB"/>
    <w:rsid w:val="00FB2015"/>
    <w:rsid w:val="00FB315D"/>
    <w:rsid w:val="00FB4A38"/>
    <w:rsid w:val="00FB4DEF"/>
    <w:rsid w:val="00FB6771"/>
    <w:rsid w:val="00FC1E69"/>
    <w:rsid w:val="00FC27B3"/>
    <w:rsid w:val="00FC51D3"/>
    <w:rsid w:val="00FC5933"/>
    <w:rsid w:val="00FC61F0"/>
    <w:rsid w:val="00FD1CA7"/>
    <w:rsid w:val="00FD2130"/>
    <w:rsid w:val="00FD2658"/>
    <w:rsid w:val="00FD2683"/>
    <w:rsid w:val="00FD357B"/>
    <w:rsid w:val="00FD4039"/>
    <w:rsid w:val="00FD5FD6"/>
    <w:rsid w:val="00FE01BD"/>
    <w:rsid w:val="00FE073B"/>
    <w:rsid w:val="00FE1BF9"/>
    <w:rsid w:val="00FE216D"/>
    <w:rsid w:val="00FE32B8"/>
    <w:rsid w:val="00FF323A"/>
    <w:rsid w:val="00FF35BE"/>
    <w:rsid w:val="00FF42E6"/>
    <w:rsid w:val="00FF6A6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9889F"/>
  <w15:docId w15:val="{A53C23B3-7CA7-4101-BB36-F6E02870E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0DBD"/>
    <w:rPr>
      <w:rFonts w:ascii="Times New Roman" w:eastAsia="Times New Roman" w:hAnsi="Times New Roman" w:cs="Times New Roman"/>
    </w:rPr>
  </w:style>
  <w:style w:type="paragraph" w:styleId="Heading1">
    <w:name w:val="heading 1"/>
    <w:basedOn w:val="Normal"/>
    <w:next w:val="Normal"/>
    <w:link w:val="Heading1Char"/>
    <w:uiPriority w:val="9"/>
    <w:qFormat/>
    <w:rsid w:val="00FB4DEF"/>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4DEF"/>
    <w:rPr>
      <w:rFonts w:asciiTheme="majorHAnsi" w:eastAsiaTheme="majorEastAsia" w:hAnsiTheme="majorHAnsi" w:cstheme="majorBidi"/>
      <w:color w:val="2F5496" w:themeColor="accent1" w:themeShade="BF"/>
      <w:sz w:val="32"/>
      <w:szCs w:val="32"/>
    </w:rPr>
  </w:style>
  <w:style w:type="character" w:customStyle="1" w:styleId="title-text">
    <w:name w:val="title-text"/>
    <w:basedOn w:val="DefaultParagraphFont"/>
    <w:rsid w:val="00A10EF9"/>
  </w:style>
  <w:style w:type="paragraph" w:styleId="ListParagraph">
    <w:name w:val="List Paragraph"/>
    <w:basedOn w:val="Normal"/>
    <w:uiPriority w:val="34"/>
    <w:qFormat/>
    <w:rsid w:val="006A6DD6"/>
    <w:pPr>
      <w:ind w:left="720"/>
      <w:contextualSpacing/>
    </w:pPr>
    <w:rPr>
      <w:rFonts w:asciiTheme="minorHAnsi" w:eastAsiaTheme="minorHAnsi" w:hAnsiTheme="minorHAnsi" w:cstheme="minorBidi"/>
    </w:rPr>
  </w:style>
  <w:style w:type="paragraph" w:styleId="Footer">
    <w:name w:val="footer"/>
    <w:basedOn w:val="Normal"/>
    <w:link w:val="FooterChar"/>
    <w:uiPriority w:val="99"/>
    <w:unhideWhenUsed/>
    <w:rsid w:val="00EA349F"/>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A349F"/>
  </w:style>
  <w:style w:type="character" w:styleId="PageNumber">
    <w:name w:val="page number"/>
    <w:basedOn w:val="DefaultParagraphFont"/>
    <w:uiPriority w:val="99"/>
    <w:semiHidden/>
    <w:unhideWhenUsed/>
    <w:rsid w:val="00EA349F"/>
  </w:style>
  <w:style w:type="character" w:styleId="Hyperlink">
    <w:name w:val="Hyperlink"/>
    <w:basedOn w:val="DefaultParagraphFont"/>
    <w:uiPriority w:val="99"/>
    <w:unhideWhenUsed/>
    <w:rsid w:val="00B24ECB"/>
    <w:rPr>
      <w:color w:val="0563C1" w:themeColor="hyperlink"/>
      <w:u w:val="single"/>
    </w:rPr>
  </w:style>
  <w:style w:type="character" w:styleId="UnresolvedMention">
    <w:name w:val="Unresolved Mention"/>
    <w:basedOn w:val="DefaultParagraphFont"/>
    <w:uiPriority w:val="99"/>
    <w:semiHidden/>
    <w:unhideWhenUsed/>
    <w:rsid w:val="00B24ECB"/>
    <w:rPr>
      <w:color w:val="605E5C"/>
      <w:shd w:val="clear" w:color="auto" w:fill="E1DFDD"/>
    </w:rPr>
  </w:style>
  <w:style w:type="paragraph" w:styleId="NormalWeb">
    <w:name w:val="Normal (Web)"/>
    <w:basedOn w:val="Normal"/>
    <w:uiPriority w:val="99"/>
    <w:unhideWhenUsed/>
    <w:rsid w:val="00A24722"/>
    <w:pPr>
      <w:spacing w:before="100" w:beforeAutospacing="1" w:after="100" w:afterAutospacing="1"/>
    </w:pPr>
  </w:style>
  <w:style w:type="table" w:styleId="TableGrid">
    <w:name w:val="Table Grid"/>
    <w:basedOn w:val="TableNormal"/>
    <w:uiPriority w:val="39"/>
    <w:rsid w:val="00B748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40ED3"/>
    <w:rPr>
      <w:sz w:val="16"/>
      <w:szCs w:val="16"/>
    </w:rPr>
  </w:style>
  <w:style w:type="paragraph" w:styleId="CommentText">
    <w:name w:val="annotation text"/>
    <w:basedOn w:val="Normal"/>
    <w:link w:val="CommentTextChar"/>
    <w:uiPriority w:val="99"/>
    <w:unhideWhenUsed/>
    <w:rsid w:val="00E40ED3"/>
    <w:rPr>
      <w:sz w:val="20"/>
      <w:szCs w:val="20"/>
    </w:rPr>
  </w:style>
  <w:style w:type="character" w:customStyle="1" w:styleId="CommentTextChar">
    <w:name w:val="Comment Text Char"/>
    <w:basedOn w:val="DefaultParagraphFont"/>
    <w:link w:val="CommentText"/>
    <w:uiPriority w:val="99"/>
    <w:rsid w:val="00E40ED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40ED3"/>
    <w:rPr>
      <w:b/>
      <w:bCs/>
    </w:rPr>
  </w:style>
  <w:style w:type="character" w:customStyle="1" w:styleId="CommentSubjectChar">
    <w:name w:val="Comment Subject Char"/>
    <w:basedOn w:val="CommentTextChar"/>
    <w:link w:val="CommentSubject"/>
    <w:uiPriority w:val="99"/>
    <w:semiHidden/>
    <w:rsid w:val="00E40ED3"/>
    <w:rPr>
      <w:rFonts w:ascii="Times New Roman" w:eastAsia="Times New Roman" w:hAnsi="Times New Roman" w:cs="Times New Roman"/>
      <w:b/>
      <w:bCs/>
      <w:sz w:val="20"/>
      <w:szCs w:val="20"/>
    </w:rPr>
  </w:style>
  <w:style w:type="paragraph" w:styleId="Revision">
    <w:name w:val="Revision"/>
    <w:hidden/>
    <w:uiPriority w:val="99"/>
    <w:semiHidden/>
    <w:rsid w:val="00BC2B0C"/>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EF33A1"/>
    <w:rPr>
      <w:color w:val="954F72" w:themeColor="followedHyperlink"/>
      <w:u w:val="single"/>
    </w:rPr>
  </w:style>
  <w:style w:type="character" w:customStyle="1" w:styleId="apple-converted-space">
    <w:name w:val="apple-converted-space"/>
    <w:basedOn w:val="DefaultParagraphFont"/>
    <w:rsid w:val="00434B27"/>
  </w:style>
  <w:style w:type="character" w:customStyle="1" w:styleId="al-author-delim">
    <w:name w:val="al-author-delim"/>
    <w:basedOn w:val="DefaultParagraphFont"/>
    <w:rsid w:val="00312675"/>
  </w:style>
  <w:style w:type="character" w:styleId="Emphasis">
    <w:name w:val="Emphasis"/>
    <w:basedOn w:val="DefaultParagraphFont"/>
    <w:uiPriority w:val="20"/>
    <w:qFormat/>
    <w:rsid w:val="003126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75747">
      <w:bodyDiv w:val="1"/>
      <w:marLeft w:val="0"/>
      <w:marRight w:val="0"/>
      <w:marTop w:val="0"/>
      <w:marBottom w:val="0"/>
      <w:divBdr>
        <w:top w:val="none" w:sz="0" w:space="0" w:color="auto"/>
        <w:left w:val="none" w:sz="0" w:space="0" w:color="auto"/>
        <w:bottom w:val="none" w:sz="0" w:space="0" w:color="auto"/>
        <w:right w:val="none" w:sz="0" w:space="0" w:color="auto"/>
      </w:divBdr>
    </w:div>
    <w:div w:id="8724818">
      <w:bodyDiv w:val="1"/>
      <w:marLeft w:val="0"/>
      <w:marRight w:val="0"/>
      <w:marTop w:val="0"/>
      <w:marBottom w:val="0"/>
      <w:divBdr>
        <w:top w:val="none" w:sz="0" w:space="0" w:color="auto"/>
        <w:left w:val="none" w:sz="0" w:space="0" w:color="auto"/>
        <w:bottom w:val="none" w:sz="0" w:space="0" w:color="auto"/>
        <w:right w:val="none" w:sz="0" w:space="0" w:color="auto"/>
      </w:divBdr>
    </w:div>
    <w:div w:id="74281017">
      <w:bodyDiv w:val="1"/>
      <w:marLeft w:val="0"/>
      <w:marRight w:val="0"/>
      <w:marTop w:val="0"/>
      <w:marBottom w:val="0"/>
      <w:divBdr>
        <w:top w:val="none" w:sz="0" w:space="0" w:color="auto"/>
        <w:left w:val="none" w:sz="0" w:space="0" w:color="auto"/>
        <w:bottom w:val="none" w:sz="0" w:space="0" w:color="auto"/>
        <w:right w:val="none" w:sz="0" w:space="0" w:color="auto"/>
      </w:divBdr>
    </w:div>
    <w:div w:id="79572486">
      <w:bodyDiv w:val="1"/>
      <w:marLeft w:val="0"/>
      <w:marRight w:val="0"/>
      <w:marTop w:val="0"/>
      <w:marBottom w:val="0"/>
      <w:divBdr>
        <w:top w:val="none" w:sz="0" w:space="0" w:color="auto"/>
        <w:left w:val="none" w:sz="0" w:space="0" w:color="auto"/>
        <w:bottom w:val="none" w:sz="0" w:space="0" w:color="auto"/>
        <w:right w:val="none" w:sz="0" w:space="0" w:color="auto"/>
      </w:divBdr>
    </w:div>
    <w:div w:id="140778676">
      <w:bodyDiv w:val="1"/>
      <w:marLeft w:val="0"/>
      <w:marRight w:val="0"/>
      <w:marTop w:val="0"/>
      <w:marBottom w:val="0"/>
      <w:divBdr>
        <w:top w:val="none" w:sz="0" w:space="0" w:color="auto"/>
        <w:left w:val="none" w:sz="0" w:space="0" w:color="auto"/>
        <w:bottom w:val="none" w:sz="0" w:space="0" w:color="auto"/>
        <w:right w:val="none" w:sz="0" w:space="0" w:color="auto"/>
      </w:divBdr>
    </w:div>
    <w:div w:id="236522348">
      <w:bodyDiv w:val="1"/>
      <w:marLeft w:val="0"/>
      <w:marRight w:val="0"/>
      <w:marTop w:val="0"/>
      <w:marBottom w:val="0"/>
      <w:divBdr>
        <w:top w:val="none" w:sz="0" w:space="0" w:color="auto"/>
        <w:left w:val="none" w:sz="0" w:space="0" w:color="auto"/>
        <w:bottom w:val="none" w:sz="0" w:space="0" w:color="auto"/>
        <w:right w:val="none" w:sz="0" w:space="0" w:color="auto"/>
      </w:divBdr>
    </w:div>
    <w:div w:id="243077997">
      <w:bodyDiv w:val="1"/>
      <w:marLeft w:val="0"/>
      <w:marRight w:val="0"/>
      <w:marTop w:val="0"/>
      <w:marBottom w:val="0"/>
      <w:divBdr>
        <w:top w:val="none" w:sz="0" w:space="0" w:color="auto"/>
        <w:left w:val="none" w:sz="0" w:space="0" w:color="auto"/>
        <w:bottom w:val="none" w:sz="0" w:space="0" w:color="auto"/>
        <w:right w:val="none" w:sz="0" w:space="0" w:color="auto"/>
      </w:divBdr>
    </w:div>
    <w:div w:id="250823822">
      <w:bodyDiv w:val="1"/>
      <w:marLeft w:val="0"/>
      <w:marRight w:val="0"/>
      <w:marTop w:val="0"/>
      <w:marBottom w:val="0"/>
      <w:divBdr>
        <w:top w:val="none" w:sz="0" w:space="0" w:color="auto"/>
        <w:left w:val="none" w:sz="0" w:space="0" w:color="auto"/>
        <w:bottom w:val="none" w:sz="0" w:space="0" w:color="auto"/>
        <w:right w:val="none" w:sz="0" w:space="0" w:color="auto"/>
      </w:divBdr>
    </w:div>
    <w:div w:id="265577884">
      <w:bodyDiv w:val="1"/>
      <w:marLeft w:val="0"/>
      <w:marRight w:val="0"/>
      <w:marTop w:val="0"/>
      <w:marBottom w:val="0"/>
      <w:divBdr>
        <w:top w:val="none" w:sz="0" w:space="0" w:color="auto"/>
        <w:left w:val="none" w:sz="0" w:space="0" w:color="auto"/>
        <w:bottom w:val="none" w:sz="0" w:space="0" w:color="auto"/>
        <w:right w:val="none" w:sz="0" w:space="0" w:color="auto"/>
      </w:divBdr>
    </w:div>
    <w:div w:id="269245172">
      <w:bodyDiv w:val="1"/>
      <w:marLeft w:val="0"/>
      <w:marRight w:val="0"/>
      <w:marTop w:val="0"/>
      <w:marBottom w:val="0"/>
      <w:divBdr>
        <w:top w:val="none" w:sz="0" w:space="0" w:color="auto"/>
        <w:left w:val="none" w:sz="0" w:space="0" w:color="auto"/>
        <w:bottom w:val="none" w:sz="0" w:space="0" w:color="auto"/>
        <w:right w:val="none" w:sz="0" w:space="0" w:color="auto"/>
      </w:divBdr>
    </w:div>
    <w:div w:id="349526481">
      <w:bodyDiv w:val="1"/>
      <w:marLeft w:val="0"/>
      <w:marRight w:val="0"/>
      <w:marTop w:val="0"/>
      <w:marBottom w:val="0"/>
      <w:divBdr>
        <w:top w:val="none" w:sz="0" w:space="0" w:color="auto"/>
        <w:left w:val="none" w:sz="0" w:space="0" w:color="auto"/>
        <w:bottom w:val="none" w:sz="0" w:space="0" w:color="auto"/>
        <w:right w:val="none" w:sz="0" w:space="0" w:color="auto"/>
      </w:divBdr>
    </w:div>
    <w:div w:id="357048192">
      <w:bodyDiv w:val="1"/>
      <w:marLeft w:val="0"/>
      <w:marRight w:val="0"/>
      <w:marTop w:val="0"/>
      <w:marBottom w:val="0"/>
      <w:divBdr>
        <w:top w:val="none" w:sz="0" w:space="0" w:color="auto"/>
        <w:left w:val="none" w:sz="0" w:space="0" w:color="auto"/>
        <w:bottom w:val="none" w:sz="0" w:space="0" w:color="auto"/>
        <w:right w:val="none" w:sz="0" w:space="0" w:color="auto"/>
      </w:divBdr>
    </w:div>
    <w:div w:id="389114266">
      <w:bodyDiv w:val="1"/>
      <w:marLeft w:val="0"/>
      <w:marRight w:val="0"/>
      <w:marTop w:val="0"/>
      <w:marBottom w:val="0"/>
      <w:divBdr>
        <w:top w:val="none" w:sz="0" w:space="0" w:color="auto"/>
        <w:left w:val="none" w:sz="0" w:space="0" w:color="auto"/>
        <w:bottom w:val="none" w:sz="0" w:space="0" w:color="auto"/>
        <w:right w:val="none" w:sz="0" w:space="0" w:color="auto"/>
      </w:divBdr>
    </w:div>
    <w:div w:id="391932632">
      <w:bodyDiv w:val="1"/>
      <w:marLeft w:val="0"/>
      <w:marRight w:val="0"/>
      <w:marTop w:val="0"/>
      <w:marBottom w:val="0"/>
      <w:divBdr>
        <w:top w:val="none" w:sz="0" w:space="0" w:color="auto"/>
        <w:left w:val="none" w:sz="0" w:space="0" w:color="auto"/>
        <w:bottom w:val="none" w:sz="0" w:space="0" w:color="auto"/>
        <w:right w:val="none" w:sz="0" w:space="0" w:color="auto"/>
      </w:divBdr>
    </w:div>
    <w:div w:id="444349357">
      <w:bodyDiv w:val="1"/>
      <w:marLeft w:val="0"/>
      <w:marRight w:val="0"/>
      <w:marTop w:val="0"/>
      <w:marBottom w:val="0"/>
      <w:divBdr>
        <w:top w:val="none" w:sz="0" w:space="0" w:color="auto"/>
        <w:left w:val="none" w:sz="0" w:space="0" w:color="auto"/>
        <w:bottom w:val="none" w:sz="0" w:space="0" w:color="auto"/>
        <w:right w:val="none" w:sz="0" w:space="0" w:color="auto"/>
      </w:divBdr>
    </w:div>
    <w:div w:id="467431981">
      <w:bodyDiv w:val="1"/>
      <w:marLeft w:val="0"/>
      <w:marRight w:val="0"/>
      <w:marTop w:val="0"/>
      <w:marBottom w:val="0"/>
      <w:divBdr>
        <w:top w:val="none" w:sz="0" w:space="0" w:color="auto"/>
        <w:left w:val="none" w:sz="0" w:space="0" w:color="auto"/>
        <w:bottom w:val="none" w:sz="0" w:space="0" w:color="auto"/>
        <w:right w:val="none" w:sz="0" w:space="0" w:color="auto"/>
      </w:divBdr>
    </w:div>
    <w:div w:id="477964140">
      <w:bodyDiv w:val="1"/>
      <w:marLeft w:val="0"/>
      <w:marRight w:val="0"/>
      <w:marTop w:val="0"/>
      <w:marBottom w:val="0"/>
      <w:divBdr>
        <w:top w:val="none" w:sz="0" w:space="0" w:color="auto"/>
        <w:left w:val="none" w:sz="0" w:space="0" w:color="auto"/>
        <w:bottom w:val="none" w:sz="0" w:space="0" w:color="auto"/>
        <w:right w:val="none" w:sz="0" w:space="0" w:color="auto"/>
      </w:divBdr>
    </w:div>
    <w:div w:id="490414223">
      <w:bodyDiv w:val="1"/>
      <w:marLeft w:val="0"/>
      <w:marRight w:val="0"/>
      <w:marTop w:val="0"/>
      <w:marBottom w:val="0"/>
      <w:divBdr>
        <w:top w:val="none" w:sz="0" w:space="0" w:color="auto"/>
        <w:left w:val="none" w:sz="0" w:space="0" w:color="auto"/>
        <w:bottom w:val="none" w:sz="0" w:space="0" w:color="auto"/>
        <w:right w:val="none" w:sz="0" w:space="0" w:color="auto"/>
      </w:divBdr>
      <w:divsChild>
        <w:div w:id="1484545865">
          <w:marLeft w:val="0"/>
          <w:marRight w:val="0"/>
          <w:marTop w:val="0"/>
          <w:marBottom w:val="0"/>
          <w:divBdr>
            <w:top w:val="none" w:sz="0" w:space="0" w:color="auto"/>
            <w:left w:val="none" w:sz="0" w:space="0" w:color="auto"/>
            <w:bottom w:val="none" w:sz="0" w:space="0" w:color="auto"/>
            <w:right w:val="none" w:sz="0" w:space="0" w:color="auto"/>
          </w:divBdr>
          <w:divsChild>
            <w:div w:id="121203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948114">
      <w:bodyDiv w:val="1"/>
      <w:marLeft w:val="0"/>
      <w:marRight w:val="0"/>
      <w:marTop w:val="0"/>
      <w:marBottom w:val="0"/>
      <w:divBdr>
        <w:top w:val="none" w:sz="0" w:space="0" w:color="auto"/>
        <w:left w:val="none" w:sz="0" w:space="0" w:color="auto"/>
        <w:bottom w:val="none" w:sz="0" w:space="0" w:color="auto"/>
        <w:right w:val="none" w:sz="0" w:space="0" w:color="auto"/>
      </w:divBdr>
    </w:div>
    <w:div w:id="520627696">
      <w:bodyDiv w:val="1"/>
      <w:marLeft w:val="0"/>
      <w:marRight w:val="0"/>
      <w:marTop w:val="0"/>
      <w:marBottom w:val="0"/>
      <w:divBdr>
        <w:top w:val="none" w:sz="0" w:space="0" w:color="auto"/>
        <w:left w:val="none" w:sz="0" w:space="0" w:color="auto"/>
        <w:bottom w:val="none" w:sz="0" w:space="0" w:color="auto"/>
        <w:right w:val="none" w:sz="0" w:space="0" w:color="auto"/>
      </w:divBdr>
    </w:div>
    <w:div w:id="535390768">
      <w:bodyDiv w:val="1"/>
      <w:marLeft w:val="0"/>
      <w:marRight w:val="0"/>
      <w:marTop w:val="0"/>
      <w:marBottom w:val="0"/>
      <w:divBdr>
        <w:top w:val="none" w:sz="0" w:space="0" w:color="auto"/>
        <w:left w:val="none" w:sz="0" w:space="0" w:color="auto"/>
        <w:bottom w:val="none" w:sz="0" w:space="0" w:color="auto"/>
        <w:right w:val="none" w:sz="0" w:space="0" w:color="auto"/>
      </w:divBdr>
    </w:div>
    <w:div w:id="535851793">
      <w:bodyDiv w:val="1"/>
      <w:marLeft w:val="0"/>
      <w:marRight w:val="0"/>
      <w:marTop w:val="0"/>
      <w:marBottom w:val="0"/>
      <w:divBdr>
        <w:top w:val="none" w:sz="0" w:space="0" w:color="auto"/>
        <w:left w:val="none" w:sz="0" w:space="0" w:color="auto"/>
        <w:bottom w:val="none" w:sz="0" w:space="0" w:color="auto"/>
        <w:right w:val="none" w:sz="0" w:space="0" w:color="auto"/>
      </w:divBdr>
    </w:div>
    <w:div w:id="566691117">
      <w:bodyDiv w:val="1"/>
      <w:marLeft w:val="0"/>
      <w:marRight w:val="0"/>
      <w:marTop w:val="0"/>
      <w:marBottom w:val="0"/>
      <w:divBdr>
        <w:top w:val="none" w:sz="0" w:space="0" w:color="auto"/>
        <w:left w:val="none" w:sz="0" w:space="0" w:color="auto"/>
        <w:bottom w:val="none" w:sz="0" w:space="0" w:color="auto"/>
        <w:right w:val="none" w:sz="0" w:space="0" w:color="auto"/>
      </w:divBdr>
      <w:divsChild>
        <w:div w:id="1639719566">
          <w:marLeft w:val="0"/>
          <w:marRight w:val="0"/>
          <w:marTop w:val="0"/>
          <w:marBottom w:val="0"/>
          <w:divBdr>
            <w:top w:val="none" w:sz="0" w:space="0" w:color="auto"/>
            <w:left w:val="none" w:sz="0" w:space="0" w:color="auto"/>
            <w:bottom w:val="none" w:sz="0" w:space="0" w:color="auto"/>
            <w:right w:val="none" w:sz="0" w:space="0" w:color="auto"/>
          </w:divBdr>
          <w:divsChild>
            <w:div w:id="80126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095183">
      <w:bodyDiv w:val="1"/>
      <w:marLeft w:val="0"/>
      <w:marRight w:val="0"/>
      <w:marTop w:val="0"/>
      <w:marBottom w:val="0"/>
      <w:divBdr>
        <w:top w:val="none" w:sz="0" w:space="0" w:color="auto"/>
        <w:left w:val="none" w:sz="0" w:space="0" w:color="auto"/>
        <w:bottom w:val="none" w:sz="0" w:space="0" w:color="auto"/>
        <w:right w:val="none" w:sz="0" w:space="0" w:color="auto"/>
      </w:divBdr>
    </w:div>
    <w:div w:id="615451071">
      <w:bodyDiv w:val="1"/>
      <w:marLeft w:val="0"/>
      <w:marRight w:val="0"/>
      <w:marTop w:val="0"/>
      <w:marBottom w:val="0"/>
      <w:divBdr>
        <w:top w:val="none" w:sz="0" w:space="0" w:color="auto"/>
        <w:left w:val="none" w:sz="0" w:space="0" w:color="auto"/>
        <w:bottom w:val="none" w:sz="0" w:space="0" w:color="auto"/>
        <w:right w:val="none" w:sz="0" w:space="0" w:color="auto"/>
      </w:divBdr>
    </w:div>
    <w:div w:id="634137880">
      <w:bodyDiv w:val="1"/>
      <w:marLeft w:val="0"/>
      <w:marRight w:val="0"/>
      <w:marTop w:val="0"/>
      <w:marBottom w:val="0"/>
      <w:divBdr>
        <w:top w:val="none" w:sz="0" w:space="0" w:color="auto"/>
        <w:left w:val="none" w:sz="0" w:space="0" w:color="auto"/>
        <w:bottom w:val="none" w:sz="0" w:space="0" w:color="auto"/>
        <w:right w:val="none" w:sz="0" w:space="0" w:color="auto"/>
      </w:divBdr>
    </w:div>
    <w:div w:id="665521998">
      <w:bodyDiv w:val="1"/>
      <w:marLeft w:val="0"/>
      <w:marRight w:val="0"/>
      <w:marTop w:val="0"/>
      <w:marBottom w:val="0"/>
      <w:divBdr>
        <w:top w:val="none" w:sz="0" w:space="0" w:color="auto"/>
        <w:left w:val="none" w:sz="0" w:space="0" w:color="auto"/>
        <w:bottom w:val="none" w:sz="0" w:space="0" w:color="auto"/>
        <w:right w:val="none" w:sz="0" w:space="0" w:color="auto"/>
      </w:divBdr>
    </w:div>
    <w:div w:id="686715505">
      <w:bodyDiv w:val="1"/>
      <w:marLeft w:val="0"/>
      <w:marRight w:val="0"/>
      <w:marTop w:val="0"/>
      <w:marBottom w:val="0"/>
      <w:divBdr>
        <w:top w:val="none" w:sz="0" w:space="0" w:color="auto"/>
        <w:left w:val="none" w:sz="0" w:space="0" w:color="auto"/>
        <w:bottom w:val="none" w:sz="0" w:space="0" w:color="auto"/>
        <w:right w:val="none" w:sz="0" w:space="0" w:color="auto"/>
      </w:divBdr>
    </w:div>
    <w:div w:id="699014191">
      <w:bodyDiv w:val="1"/>
      <w:marLeft w:val="0"/>
      <w:marRight w:val="0"/>
      <w:marTop w:val="0"/>
      <w:marBottom w:val="0"/>
      <w:divBdr>
        <w:top w:val="none" w:sz="0" w:space="0" w:color="auto"/>
        <w:left w:val="none" w:sz="0" w:space="0" w:color="auto"/>
        <w:bottom w:val="none" w:sz="0" w:space="0" w:color="auto"/>
        <w:right w:val="none" w:sz="0" w:space="0" w:color="auto"/>
      </w:divBdr>
      <w:divsChild>
        <w:div w:id="1129713493">
          <w:marLeft w:val="0"/>
          <w:marRight w:val="0"/>
          <w:marTop w:val="0"/>
          <w:marBottom w:val="0"/>
          <w:divBdr>
            <w:top w:val="none" w:sz="0" w:space="0" w:color="auto"/>
            <w:left w:val="none" w:sz="0" w:space="0" w:color="auto"/>
            <w:bottom w:val="none" w:sz="0" w:space="0" w:color="auto"/>
            <w:right w:val="none" w:sz="0" w:space="0" w:color="auto"/>
          </w:divBdr>
          <w:divsChild>
            <w:div w:id="1734692441">
              <w:marLeft w:val="0"/>
              <w:marRight w:val="0"/>
              <w:marTop w:val="0"/>
              <w:marBottom w:val="0"/>
              <w:divBdr>
                <w:top w:val="none" w:sz="0" w:space="0" w:color="auto"/>
                <w:left w:val="none" w:sz="0" w:space="0" w:color="auto"/>
                <w:bottom w:val="none" w:sz="0" w:space="0" w:color="auto"/>
                <w:right w:val="none" w:sz="0" w:space="0" w:color="auto"/>
              </w:divBdr>
              <w:divsChild>
                <w:div w:id="80027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065337">
      <w:bodyDiv w:val="1"/>
      <w:marLeft w:val="0"/>
      <w:marRight w:val="0"/>
      <w:marTop w:val="0"/>
      <w:marBottom w:val="0"/>
      <w:divBdr>
        <w:top w:val="none" w:sz="0" w:space="0" w:color="auto"/>
        <w:left w:val="none" w:sz="0" w:space="0" w:color="auto"/>
        <w:bottom w:val="none" w:sz="0" w:space="0" w:color="auto"/>
        <w:right w:val="none" w:sz="0" w:space="0" w:color="auto"/>
      </w:divBdr>
    </w:div>
    <w:div w:id="758254018">
      <w:bodyDiv w:val="1"/>
      <w:marLeft w:val="0"/>
      <w:marRight w:val="0"/>
      <w:marTop w:val="0"/>
      <w:marBottom w:val="0"/>
      <w:divBdr>
        <w:top w:val="none" w:sz="0" w:space="0" w:color="auto"/>
        <w:left w:val="none" w:sz="0" w:space="0" w:color="auto"/>
        <w:bottom w:val="none" w:sz="0" w:space="0" w:color="auto"/>
        <w:right w:val="none" w:sz="0" w:space="0" w:color="auto"/>
      </w:divBdr>
    </w:div>
    <w:div w:id="827211152">
      <w:bodyDiv w:val="1"/>
      <w:marLeft w:val="0"/>
      <w:marRight w:val="0"/>
      <w:marTop w:val="0"/>
      <w:marBottom w:val="0"/>
      <w:divBdr>
        <w:top w:val="none" w:sz="0" w:space="0" w:color="auto"/>
        <w:left w:val="none" w:sz="0" w:space="0" w:color="auto"/>
        <w:bottom w:val="none" w:sz="0" w:space="0" w:color="auto"/>
        <w:right w:val="none" w:sz="0" w:space="0" w:color="auto"/>
      </w:divBdr>
    </w:div>
    <w:div w:id="830603633">
      <w:bodyDiv w:val="1"/>
      <w:marLeft w:val="0"/>
      <w:marRight w:val="0"/>
      <w:marTop w:val="0"/>
      <w:marBottom w:val="0"/>
      <w:divBdr>
        <w:top w:val="none" w:sz="0" w:space="0" w:color="auto"/>
        <w:left w:val="none" w:sz="0" w:space="0" w:color="auto"/>
        <w:bottom w:val="none" w:sz="0" w:space="0" w:color="auto"/>
        <w:right w:val="none" w:sz="0" w:space="0" w:color="auto"/>
      </w:divBdr>
    </w:div>
    <w:div w:id="837036721">
      <w:bodyDiv w:val="1"/>
      <w:marLeft w:val="0"/>
      <w:marRight w:val="0"/>
      <w:marTop w:val="0"/>
      <w:marBottom w:val="0"/>
      <w:divBdr>
        <w:top w:val="none" w:sz="0" w:space="0" w:color="auto"/>
        <w:left w:val="none" w:sz="0" w:space="0" w:color="auto"/>
        <w:bottom w:val="none" w:sz="0" w:space="0" w:color="auto"/>
        <w:right w:val="none" w:sz="0" w:space="0" w:color="auto"/>
      </w:divBdr>
    </w:div>
    <w:div w:id="855923825">
      <w:bodyDiv w:val="1"/>
      <w:marLeft w:val="0"/>
      <w:marRight w:val="0"/>
      <w:marTop w:val="0"/>
      <w:marBottom w:val="0"/>
      <w:divBdr>
        <w:top w:val="none" w:sz="0" w:space="0" w:color="auto"/>
        <w:left w:val="none" w:sz="0" w:space="0" w:color="auto"/>
        <w:bottom w:val="none" w:sz="0" w:space="0" w:color="auto"/>
        <w:right w:val="none" w:sz="0" w:space="0" w:color="auto"/>
      </w:divBdr>
    </w:div>
    <w:div w:id="871695286">
      <w:bodyDiv w:val="1"/>
      <w:marLeft w:val="0"/>
      <w:marRight w:val="0"/>
      <w:marTop w:val="0"/>
      <w:marBottom w:val="0"/>
      <w:divBdr>
        <w:top w:val="none" w:sz="0" w:space="0" w:color="auto"/>
        <w:left w:val="none" w:sz="0" w:space="0" w:color="auto"/>
        <w:bottom w:val="none" w:sz="0" w:space="0" w:color="auto"/>
        <w:right w:val="none" w:sz="0" w:space="0" w:color="auto"/>
      </w:divBdr>
    </w:div>
    <w:div w:id="901910227">
      <w:bodyDiv w:val="1"/>
      <w:marLeft w:val="0"/>
      <w:marRight w:val="0"/>
      <w:marTop w:val="0"/>
      <w:marBottom w:val="0"/>
      <w:divBdr>
        <w:top w:val="none" w:sz="0" w:space="0" w:color="auto"/>
        <w:left w:val="none" w:sz="0" w:space="0" w:color="auto"/>
        <w:bottom w:val="none" w:sz="0" w:space="0" w:color="auto"/>
        <w:right w:val="none" w:sz="0" w:space="0" w:color="auto"/>
      </w:divBdr>
    </w:div>
    <w:div w:id="937637504">
      <w:bodyDiv w:val="1"/>
      <w:marLeft w:val="0"/>
      <w:marRight w:val="0"/>
      <w:marTop w:val="0"/>
      <w:marBottom w:val="0"/>
      <w:divBdr>
        <w:top w:val="none" w:sz="0" w:space="0" w:color="auto"/>
        <w:left w:val="none" w:sz="0" w:space="0" w:color="auto"/>
        <w:bottom w:val="none" w:sz="0" w:space="0" w:color="auto"/>
        <w:right w:val="none" w:sz="0" w:space="0" w:color="auto"/>
      </w:divBdr>
    </w:div>
    <w:div w:id="962007171">
      <w:bodyDiv w:val="1"/>
      <w:marLeft w:val="0"/>
      <w:marRight w:val="0"/>
      <w:marTop w:val="0"/>
      <w:marBottom w:val="0"/>
      <w:divBdr>
        <w:top w:val="none" w:sz="0" w:space="0" w:color="auto"/>
        <w:left w:val="none" w:sz="0" w:space="0" w:color="auto"/>
        <w:bottom w:val="none" w:sz="0" w:space="0" w:color="auto"/>
        <w:right w:val="none" w:sz="0" w:space="0" w:color="auto"/>
      </w:divBdr>
    </w:div>
    <w:div w:id="975377821">
      <w:bodyDiv w:val="1"/>
      <w:marLeft w:val="0"/>
      <w:marRight w:val="0"/>
      <w:marTop w:val="0"/>
      <w:marBottom w:val="0"/>
      <w:divBdr>
        <w:top w:val="none" w:sz="0" w:space="0" w:color="auto"/>
        <w:left w:val="none" w:sz="0" w:space="0" w:color="auto"/>
        <w:bottom w:val="none" w:sz="0" w:space="0" w:color="auto"/>
        <w:right w:val="none" w:sz="0" w:space="0" w:color="auto"/>
      </w:divBdr>
    </w:div>
    <w:div w:id="986205758">
      <w:bodyDiv w:val="1"/>
      <w:marLeft w:val="0"/>
      <w:marRight w:val="0"/>
      <w:marTop w:val="0"/>
      <w:marBottom w:val="0"/>
      <w:divBdr>
        <w:top w:val="none" w:sz="0" w:space="0" w:color="auto"/>
        <w:left w:val="none" w:sz="0" w:space="0" w:color="auto"/>
        <w:bottom w:val="none" w:sz="0" w:space="0" w:color="auto"/>
        <w:right w:val="none" w:sz="0" w:space="0" w:color="auto"/>
      </w:divBdr>
    </w:div>
    <w:div w:id="1032849831">
      <w:bodyDiv w:val="1"/>
      <w:marLeft w:val="0"/>
      <w:marRight w:val="0"/>
      <w:marTop w:val="0"/>
      <w:marBottom w:val="0"/>
      <w:divBdr>
        <w:top w:val="none" w:sz="0" w:space="0" w:color="auto"/>
        <w:left w:val="none" w:sz="0" w:space="0" w:color="auto"/>
        <w:bottom w:val="none" w:sz="0" w:space="0" w:color="auto"/>
        <w:right w:val="none" w:sz="0" w:space="0" w:color="auto"/>
      </w:divBdr>
    </w:div>
    <w:div w:id="1074358766">
      <w:bodyDiv w:val="1"/>
      <w:marLeft w:val="0"/>
      <w:marRight w:val="0"/>
      <w:marTop w:val="0"/>
      <w:marBottom w:val="0"/>
      <w:divBdr>
        <w:top w:val="none" w:sz="0" w:space="0" w:color="auto"/>
        <w:left w:val="none" w:sz="0" w:space="0" w:color="auto"/>
        <w:bottom w:val="none" w:sz="0" w:space="0" w:color="auto"/>
        <w:right w:val="none" w:sz="0" w:space="0" w:color="auto"/>
      </w:divBdr>
      <w:divsChild>
        <w:div w:id="440958119">
          <w:marLeft w:val="0"/>
          <w:marRight w:val="0"/>
          <w:marTop w:val="0"/>
          <w:marBottom w:val="0"/>
          <w:divBdr>
            <w:top w:val="none" w:sz="0" w:space="0" w:color="auto"/>
            <w:left w:val="none" w:sz="0" w:space="0" w:color="auto"/>
            <w:bottom w:val="none" w:sz="0" w:space="0" w:color="auto"/>
            <w:right w:val="none" w:sz="0" w:space="0" w:color="auto"/>
          </w:divBdr>
          <w:divsChild>
            <w:div w:id="1699815630">
              <w:marLeft w:val="0"/>
              <w:marRight w:val="0"/>
              <w:marTop w:val="0"/>
              <w:marBottom w:val="0"/>
              <w:divBdr>
                <w:top w:val="none" w:sz="0" w:space="0" w:color="auto"/>
                <w:left w:val="none" w:sz="0" w:space="0" w:color="auto"/>
                <w:bottom w:val="none" w:sz="0" w:space="0" w:color="auto"/>
                <w:right w:val="none" w:sz="0" w:space="0" w:color="auto"/>
              </w:divBdr>
              <w:divsChild>
                <w:div w:id="3469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167848">
      <w:bodyDiv w:val="1"/>
      <w:marLeft w:val="0"/>
      <w:marRight w:val="0"/>
      <w:marTop w:val="0"/>
      <w:marBottom w:val="0"/>
      <w:divBdr>
        <w:top w:val="none" w:sz="0" w:space="0" w:color="auto"/>
        <w:left w:val="none" w:sz="0" w:space="0" w:color="auto"/>
        <w:bottom w:val="none" w:sz="0" w:space="0" w:color="auto"/>
        <w:right w:val="none" w:sz="0" w:space="0" w:color="auto"/>
      </w:divBdr>
    </w:div>
    <w:div w:id="1113406464">
      <w:bodyDiv w:val="1"/>
      <w:marLeft w:val="0"/>
      <w:marRight w:val="0"/>
      <w:marTop w:val="0"/>
      <w:marBottom w:val="0"/>
      <w:divBdr>
        <w:top w:val="none" w:sz="0" w:space="0" w:color="auto"/>
        <w:left w:val="none" w:sz="0" w:space="0" w:color="auto"/>
        <w:bottom w:val="none" w:sz="0" w:space="0" w:color="auto"/>
        <w:right w:val="none" w:sz="0" w:space="0" w:color="auto"/>
      </w:divBdr>
    </w:div>
    <w:div w:id="1114405217">
      <w:bodyDiv w:val="1"/>
      <w:marLeft w:val="0"/>
      <w:marRight w:val="0"/>
      <w:marTop w:val="0"/>
      <w:marBottom w:val="0"/>
      <w:divBdr>
        <w:top w:val="none" w:sz="0" w:space="0" w:color="auto"/>
        <w:left w:val="none" w:sz="0" w:space="0" w:color="auto"/>
        <w:bottom w:val="none" w:sz="0" w:space="0" w:color="auto"/>
        <w:right w:val="none" w:sz="0" w:space="0" w:color="auto"/>
      </w:divBdr>
    </w:div>
    <w:div w:id="1161699005">
      <w:bodyDiv w:val="1"/>
      <w:marLeft w:val="0"/>
      <w:marRight w:val="0"/>
      <w:marTop w:val="0"/>
      <w:marBottom w:val="0"/>
      <w:divBdr>
        <w:top w:val="none" w:sz="0" w:space="0" w:color="auto"/>
        <w:left w:val="none" w:sz="0" w:space="0" w:color="auto"/>
        <w:bottom w:val="none" w:sz="0" w:space="0" w:color="auto"/>
        <w:right w:val="none" w:sz="0" w:space="0" w:color="auto"/>
      </w:divBdr>
      <w:divsChild>
        <w:div w:id="615798715">
          <w:marLeft w:val="0"/>
          <w:marRight w:val="0"/>
          <w:marTop w:val="0"/>
          <w:marBottom w:val="0"/>
          <w:divBdr>
            <w:top w:val="none" w:sz="0" w:space="0" w:color="auto"/>
            <w:left w:val="none" w:sz="0" w:space="0" w:color="auto"/>
            <w:bottom w:val="none" w:sz="0" w:space="0" w:color="auto"/>
            <w:right w:val="none" w:sz="0" w:space="0" w:color="auto"/>
          </w:divBdr>
          <w:divsChild>
            <w:div w:id="554312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975195">
      <w:bodyDiv w:val="1"/>
      <w:marLeft w:val="0"/>
      <w:marRight w:val="0"/>
      <w:marTop w:val="0"/>
      <w:marBottom w:val="0"/>
      <w:divBdr>
        <w:top w:val="none" w:sz="0" w:space="0" w:color="auto"/>
        <w:left w:val="none" w:sz="0" w:space="0" w:color="auto"/>
        <w:bottom w:val="none" w:sz="0" w:space="0" w:color="auto"/>
        <w:right w:val="none" w:sz="0" w:space="0" w:color="auto"/>
      </w:divBdr>
    </w:div>
    <w:div w:id="1255167598">
      <w:bodyDiv w:val="1"/>
      <w:marLeft w:val="0"/>
      <w:marRight w:val="0"/>
      <w:marTop w:val="0"/>
      <w:marBottom w:val="0"/>
      <w:divBdr>
        <w:top w:val="none" w:sz="0" w:space="0" w:color="auto"/>
        <w:left w:val="none" w:sz="0" w:space="0" w:color="auto"/>
        <w:bottom w:val="none" w:sz="0" w:space="0" w:color="auto"/>
        <w:right w:val="none" w:sz="0" w:space="0" w:color="auto"/>
      </w:divBdr>
    </w:div>
    <w:div w:id="1293362298">
      <w:bodyDiv w:val="1"/>
      <w:marLeft w:val="0"/>
      <w:marRight w:val="0"/>
      <w:marTop w:val="0"/>
      <w:marBottom w:val="0"/>
      <w:divBdr>
        <w:top w:val="none" w:sz="0" w:space="0" w:color="auto"/>
        <w:left w:val="none" w:sz="0" w:space="0" w:color="auto"/>
        <w:bottom w:val="none" w:sz="0" w:space="0" w:color="auto"/>
        <w:right w:val="none" w:sz="0" w:space="0" w:color="auto"/>
      </w:divBdr>
    </w:div>
    <w:div w:id="1340884129">
      <w:bodyDiv w:val="1"/>
      <w:marLeft w:val="0"/>
      <w:marRight w:val="0"/>
      <w:marTop w:val="0"/>
      <w:marBottom w:val="0"/>
      <w:divBdr>
        <w:top w:val="none" w:sz="0" w:space="0" w:color="auto"/>
        <w:left w:val="none" w:sz="0" w:space="0" w:color="auto"/>
        <w:bottom w:val="none" w:sz="0" w:space="0" w:color="auto"/>
        <w:right w:val="none" w:sz="0" w:space="0" w:color="auto"/>
      </w:divBdr>
    </w:div>
    <w:div w:id="1467089303">
      <w:bodyDiv w:val="1"/>
      <w:marLeft w:val="0"/>
      <w:marRight w:val="0"/>
      <w:marTop w:val="0"/>
      <w:marBottom w:val="0"/>
      <w:divBdr>
        <w:top w:val="none" w:sz="0" w:space="0" w:color="auto"/>
        <w:left w:val="none" w:sz="0" w:space="0" w:color="auto"/>
        <w:bottom w:val="none" w:sz="0" w:space="0" w:color="auto"/>
        <w:right w:val="none" w:sz="0" w:space="0" w:color="auto"/>
      </w:divBdr>
    </w:div>
    <w:div w:id="1502894473">
      <w:bodyDiv w:val="1"/>
      <w:marLeft w:val="0"/>
      <w:marRight w:val="0"/>
      <w:marTop w:val="0"/>
      <w:marBottom w:val="0"/>
      <w:divBdr>
        <w:top w:val="none" w:sz="0" w:space="0" w:color="auto"/>
        <w:left w:val="none" w:sz="0" w:space="0" w:color="auto"/>
        <w:bottom w:val="none" w:sz="0" w:space="0" w:color="auto"/>
        <w:right w:val="none" w:sz="0" w:space="0" w:color="auto"/>
      </w:divBdr>
    </w:div>
    <w:div w:id="1516579731">
      <w:bodyDiv w:val="1"/>
      <w:marLeft w:val="0"/>
      <w:marRight w:val="0"/>
      <w:marTop w:val="0"/>
      <w:marBottom w:val="0"/>
      <w:divBdr>
        <w:top w:val="none" w:sz="0" w:space="0" w:color="auto"/>
        <w:left w:val="none" w:sz="0" w:space="0" w:color="auto"/>
        <w:bottom w:val="none" w:sz="0" w:space="0" w:color="auto"/>
        <w:right w:val="none" w:sz="0" w:space="0" w:color="auto"/>
      </w:divBdr>
    </w:div>
    <w:div w:id="1527712383">
      <w:bodyDiv w:val="1"/>
      <w:marLeft w:val="0"/>
      <w:marRight w:val="0"/>
      <w:marTop w:val="0"/>
      <w:marBottom w:val="0"/>
      <w:divBdr>
        <w:top w:val="none" w:sz="0" w:space="0" w:color="auto"/>
        <w:left w:val="none" w:sz="0" w:space="0" w:color="auto"/>
        <w:bottom w:val="none" w:sz="0" w:space="0" w:color="auto"/>
        <w:right w:val="none" w:sz="0" w:space="0" w:color="auto"/>
      </w:divBdr>
    </w:div>
    <w:div w:id="1557163446">
      <w:bodyDiv w:val="1"/>
      <w:marLeft w:val="0"/>
      <w:marRight w:val="0"/>
      <w:marTop w:val="0"/>
      <w:marBottom w:val="0"/>
      <w:divBdr>
        <w:top w:val="none" w:sz="0" w:space="0" w:color="auto"/>
        <w:left w:val="none" w:sz="0" w:space="0" w:color="auto"/>
        <w:bottom w:val="none" w:sz="0" w:space="0" w:color="auto"/>
        <w:right w:val="none" w:sz="0" w:space="0" w:color="auto"/>
      </w:divBdr>
    </w:div>
    <w:div w:id="1599412462">
      <w:bodyDiv w:val="1"/>
      <w:marLeft w:val="0"/>
      <w:marRight w:val="0"/>
      <w:marTop w:val="0"/>
      <w:marBottom w:val="0"/>
      <w:divBdr>
        <w:top w:val="none" w:sz="0" w:space="0" w:color="auto"/>
        <w:left w:val="none" w:sz="0" w:space="0" w:color="auto"/>
        <w:bottom w:val="none" w:sz="0" w:space="0" w:color="auto"/>
        <w:right w:val="none" w:sz="0" w:space="0" w:color="auto"/>
      </w:divBdr>
    </w:div>
    <w:div w:id="1633830633">
      <w:bodyDiv w:val="1"/>
      <w:marLeft w:val="0"/>
      <w:marRight w:val="0"/>
      <w:marTop w:val="0"/>
      <w:marBottom w:val="0"/>
      <w:divBdr>
        <w:top w:val="none" w:sz="0" w:space="0" w:color="auto"/>
        <w:left w:val="none" w:sz="0" w:space="0" w:color="auto"/>
        <w:bottom w:val="none" w:sz="0" w:space="0" w:color="auto"/>
        <w:right w:val="none" w:sz="0" w:space="0" w:color="auto"/>
      </w:divBdr>
    </w:div>
    <w:div w:id="1648393019">
      <w:bodyDiv w:val="1"/>
      <w:marLeft w:val="0"/>
      <w:marRight w:val="0"/>
      <w:marTop w:val="0"/>
      <w:marBottom w:val="0"/>
      <w:divBdr>
        <w:top w:val="none" w:sz="0" w:space="0" w:color="auto"/>
        <w:left w:val="none" w:sz="0" w:space="0" w:color="auto"/>
        <w:bottom w:val="none" w:sz="0" w:space="0" w:color="auto"/>
        <w:right w:val="none" w:sz="0" w:space="0" w:color="auto"/>
      </w:divBdr>
      <w:divsChild>
        <w:div w:id="1261261969">
          <w:marLeft w:val="0"/>
          <w:marRight w:val="0"/>
          <w:marTop w:val="0"/>
          <w:marBottom w:val="0"/>
          <w:divBdr>
            <w:top w:val="none" w:sz="0" w:space="0" w:color="auto"/>
            <w:left w:val="none" w:sz="0" w:space="0" w:color="auto"/>
            <w:bottom w:val="none" w:sz="0" w:space="0" w:color="auto"/>
            <w:right w:val="none" w:sz="0" w:space="0" w:color="auto"/>
          </w:divBdr>
          <w:divsChild>
            <w:div w:id="208852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671564">
      <w:bodyDiv w:val="1"/>
      <w:marLeft w:val="0"/>
      <w:marRight w:val="0"/>
      <w:marTop w:val="0"/>
      <w:marBottom w:val="0"/>
      <w:divBdr>
        <w:top w:val="none" w:sz="0" w:space="0" w:color="auto"/>
        <w:left w:val="none" w:sz="0" w:space="0" w:color="auto"/>
        <w:bottom w:val="none" w:sz="0" w:space="0" w:color="auto"/>
        <w:right w:val="none" w:sz="0" w:space="0" w:color="auto"/>
      </w:divBdr>
    </w:div>
    <w:div w:id="1651397671">
      <w:bodyDiv w:val="1"/>
      <w:marLeft w:val="0"/>
      <w:marRight w:val="0"/>
      <w:marTop w:val="0"/>
      <w:marBottom w:val="0"/>
      <w:divBdr>
        <w:top w:val="none" w:sz="0" w:space="0" w:color="auto"/>
        <w:left w:val="none" w:sz="0" w:space="0" w:color="auto"/>
        <w:bottom w:val="none" w:sz="0" w:space="0" w:color="auto"/>
        <w:right w:val="none" w:sz="0" w:space="0" w:color="auto"/>
      </w:divBdr>
    </w:div>
    <w:div w:id="1652439192">
      <w:bodyDiv w:val="1"/>
      <w:marLeft w:val="0"/>
      <w:marRight w:val="0"/>
      <w:marTop w:val="0"/>
      <w:marBottom w:val="0"/>
      <w:divBdr>
        <w:top w:val="none" w:sz="0" w:space="0" w:color="auto"/>
        <w:left w:val="none" w:sz="0" w:space="0" w:color="auto"/>
        <w:bottom w:val="none" w:sz="0" w:space="0" w:color="auto"/>
        <w:right w:val="none" w:sz="0" w:space="0" w:color="auto"/>
      </w:divBdr>
    </w:div>
    <w:div w:id="1701198327">
      <w:bodyDiv w:val="1"/>
      <w:marLeft w:val="0"/>
      <w:marRight w:val="0"/>
      <w:marTop w:val="0"/>
      <w:marBottom w:val="0"/>
      <w:divBdr>
        <w:top w:val="none" w:sz="0" w:space="0" w:color="auto"/>
        <w:left w:val="none" w:sz="0" w:space="0" w:color="auto"/>
        <w:bottom w:val="none" w:sz="0" w:space="0" w:color="auto"/>
        <w:right w:val="none" w:sz="0" w:space="0" w:color="auto"/>
      </w:divBdr>
    </w:div>
    <w:div w:id="1732264328">
      <w:bodyDiv w:val="1"/>
      <w:marLeft w:val="0"/>
      <w:marRight w:val="0"/>
      <w:marTop w:val="0"/>
      <w:marBottom w:val="0"/>
      <w:divBdr>
        <w:top w:val="none" w:sz="0" w:space="0" w:color="auto"/>
        <w:left w:val="none" w:sz="0" w:space="0" w:color="auto"/>
        <w:bottom w:val="none" w:sz="0" w:space="0" w:color="auto"/>
        <w:right w:val="none" w:sz="0" w:space="0" w:color="auto"/>
      </w:divBdr>
    </w:div>
    <w:div w:id="1741519086">
      <w:bodyDiv w:val="1"/>
      <w:marLeft w:val="0"/>
      <w:marRight w:val="0"/>
      <w:marTop w:val="0"/>
      <w:marBottom w:val="0"/>
      <w:divBdr>
        <w:top w:val="none" w:sz="0" w:space="0" w:color="auto"/>
        <w:left w:val="none" w:sz="0" w:space="0" w:color="auto"/>
        <w:bottom w:val="none" w:sz="0" w:space="0" w:color="auto"/>
        <w:right w:val="none" w:sz="0" w:space="0" w:color="auto"/>
      </w:divBdr>
    </w:div>
    <w:div w:id="1769159996">
      <w:bodyDiv w:val="1"/>
      <w:marLeft w:val="0"/>
      <w:marRight w:val="0"/>
      <w:marTop w:val="0"/>
      <w:marBottom w:val="0"/>
      <w:divBdr>
        <w:top w:val="none" w:sz="0" w:space="0" w:color="auto"/>
        <w:left w:val="none" w:sz="0" w:space="0" w:color="auto"/>
        <w:bottom w:val="none" w:sz="0" w:space="0" w:color="auto"/>
        <w:right w:val="none" w:sz="0" w:space="0" w:color="auto"/>
      </w:divBdr>
    </w:div>
    <w:div w:id="1817722020">
      <w:bodyDiv w:val="1"/>
      <w:marLeft w:val="0"/>
      <w:marRight w:val="0"/>
      <w:marTop w:val="0"/>
      <w:marBottom w:val="0"/>
      <w:divBdr>
        <w:top w:val="none" w:sz="0" w:space="0" w:color="auto"/>
        <w:left w:val="none" w:sz="0" w:space="0" w:color="auto"/>
        <w:bottom w:val="none" w:sz="0" w:space="0" w:color="auto"/>
        <w:right w:val="none" w:sz="0" w:space="0" w:color="auto"/>
      </w:divBdr>
    </w:div>
    <w:div w:id="1829977669">
      <w:bodyDiv w:val="1"/>
      <w:marLeft w:val="0"/>
      <w:marRight w:val="0"/>
      <w:marTop w:val="0"/>
      <w:marBottom w:val="0"/>
      <w:divBdr>
        <w:top w:val="none" w:sz="0" w:space="0" w:color="auto"/>
        <w:left w:val="none" w:sz="0" w:space="0" w:color="auto"/>
        <w:bottom w:val="none" w:sz="0" w:space="0" w:color="auto"/>
        <w:right w:val="none" w:sz="0" w:space="0" w:color="auto"/>
      </w:divBdr>
    </w:div>
    <w:div w:id="1833108545">
      <w:bodyDiv w:val="1"/>
      <w:marLeft w:val="0"/>
      <w:marRight w:val="0"/>
      <w:marTop w:val="0"/>
      <w:marBottom w:val="0"/>
      <w:divBdr>
        <w:top w:val="none" w:sz="0" w:space="0" w:color="auto"/>
        <w:left w:val="none" w:sz="0" w:space="0" w:color="auto"/>
        <w:bottom w:val="none" w:sz="0" w:space="0" w:color="auto"/>
        <w:right w:val="none" w:sz="0" w:space="0" w:color="auto"/>
      </w:divBdr>
    </w:div>
    <w:div w:id="1839883375">
      <w:bodyDiv w:val="1"/>
      <w:marLeft w:val="0"/>
      <w:marRight w:val="0"/>
      <w:marTop w:val="0"/>
      <w:marBottom w:val="0"/>
      <w:divBdr>
        <w:top w:val="none" w:sz="0" w:space="0" w:color="auto"/>
        <w:left w:val="none" w:sz="0" w:space="0" w:color="auto"/>
        <w:bottom w:val="none" w:sz="0" w:space="0" w:color="auto"/>
        <w:right w:val="none" w:sz="0" w:space="0" w:color="auto"/>
      </w:divBdr>
    </w:div>
    <w:div w:id="1852840726">
      <w:bodyDiv w:val="1"/>
      <w:marLeft w:val="0"/>
      <w:marRight w:val="0"/>
      <w:marTop w:val="0"/>
      <w:marBottom w:val="0"/>
      <w:divBdr>
        <w:top w:val="none" w:sz="0" w:space="0" w:color="auto"/>
        <w:left w:val="none" w:sz="0" w:space="0" w:color="auto"/>
        <w:bottom w:val="none" w:sz="0" w:space="0" w:color="auto"/>
        <w:right w:val="none" w:sz="0" w:space="0" w:color="auto"/>
      </w:divBdr>
    </w:div>
    <w:div w:id="1857037749">
      <w:bodyDiv w:val="1"/>
      <w:marLeft w:val="0"/>
      <w:marRight w:val="0"/>
      <w:marTop w:val="0"/>
      <w:marBottom w:val="0"/>
      <w:divBdr>
        <w:top w:val="none" w:sz="0" w:space="0" w:color="auto"/>
        <w:left w:val="none" w:sz="0" w:space="0" w:color="auto"/>
        <w:bottom w:val="none" w:sz="0" w:space="0" w:color="auto"/>
        <w:right w:val="none" w:sz="0" w:space="0" w:color="auto"/>
      </w:divBdr>
    </w:div>
    <w:div w:id="1862822036">
      <w:bodyDiv w:val="1"/>
      <w:marLeft w:val="0"/>
      <w:marRight w:val="0"/>
      <w:marTop w:val="0"/>
      <w:marBottom w:val="0"/>
      <w:divBdr>
        <w:top w:val="none" w:sz="0" w:space="0" w:color="auto"/>
        <w:left w:val="none" w:sz="0" w:space="0" w:color="auto"/>
        <w:bottom w:val="none" w:sz="0" w:space="0" w:color="auto"/>
        <w:right w:val="none" w:sz="0" w:space="0" w:color="auto"/>
      </w:divBdr>
    </w:div>
    <w:div w:id="1876888327">
      <w:bodyDiv w:val="1"/>
      <w:marLeft w:val="0"/>
      <w:marRight w:val="0"/>
      <w:marTop w:val="0"/>
      <w:marBottom w:val="0"/>
      <w:divBdr>
        <w:top w:val="none" w:sz="0" w:space="0" w:color="auto"/>
        <w:left w:val="none" w:sz="0" w:space="0" w:color="auto"/>
        <w:bottom w:val="none" w:sz="0" w:space="0" w:color="auto"/>
        <w:right w:val="none" w:sz="0" w:space="0" w:color="auto"/>
      </w:divBdr>
    </w:div>
    <w:div w:id="1888838287">
      <w:bodyDiv w:val="1"/>
      <w:marLeft w:val="0"/>
      <w:marRight w:val="0"/>
      <w:marTop w:val="0"/>
      <w:marBottom w:val="0"/>
      <w:divBdr>
        <w:top w:val="none" w:sz="0" w:space="0" w:color="auto"/>
        <w:left w:val="none" w:sz="0" w:space="0" w:color="auto"/>
        <w:bottom w:val="none" w:sz="0" w:space="0" w:color="auto"/>
        <w:right w:val="none" w:sz="0" w:space="0" w:color="auto"/>
      </w:divBdr>
    </w:div>
    <w:div w:id="1931892030">
      <w:bodyDiv w:val="1"/>
      <w:marLeft w:val="0"/>
      <w:marRight w:val="0"/>
      <w:marTop w:val="0"/>
      <w:marBottom w:val="0"/>
      <w:divBdr>
        <w:top w:val="none" w:sz="0" w:space="0" w:color="auto"/>
        <w:left w:val="none" w:sz="0" w:space="0" w:color="auto"/>
        <w:bottom w:val="none" w:sz="0" w:space="0" w:color="auto"/>
        <w:right w:val="none" w:sz="0" w:space="0" w:color="auto"/>
      </w:divBdr>
    </w:div>
    <w:div w:id="1989935350">
      <w:bodyDiv w:val="1"/>
      <w:marLeft w:val="0"/>
      <w:marRight w:val="0"/>
      <w:marTop w:val="0"/>
      <w:marBottom w:val="0"/>
      <w:divBdr>
        <w:top w:val="none" w:sz="0" w:space="0" w:color="auto"/>
        <w:left w:val="none" w:sz="0" w:space="0" w:color="auto"/>
        <w:bottom w:val="none" w:sz="0" w:space="0" w:color="auto"/>
        <w:right w:val="none" w:sz="0" w:space="0" w:color="auto"/>
      </w:divBdr>
      <w:divsChild>
        <w:div w:id="392243536">
          <w:marLeft w:val="0"/>
          <w:marRight w:val="0"/>
          <w:marTop w:val="0"/>
          <w:marBottom w:val="0"/>
          <w:divBdr>
            <w:top w:val="none" w:sz="0" w:space="0" w:color="auto"/>
            <w:left w:val="none" w:sz="0" w:space="0" w:color="auto"/>
            <w:bottom w:val="none" w:sz="0" w:space="0" w:color="auto"/>
            <w:right w:val="none" w:sz="0" w:space="0" w:color="auto"/>
          </w:divBdr>
          <w:divsChild>
            <w:div w:id="445200175">
              <w:marLeft w:val="0"/>
              <w:marRight w:val="0"/>
              <w:marTop w:val="0"/>
              <w:marBottom w:val="0"/>
              <w:divBdr>
                <w:top w:val="none" w:sz="0" w:space="0" w:color="auto"/>
                <w:left w:val="none" w:sz="0" w:space="0" w:color="auto"/>
                <w:bottom w:val="none" w:sz="0" w:space="0" w:color="auto"/>
                <w:right w:val="none" w:sz="0" w:space="0" w:color="auto"/>
              </w:divBdr>
              <w:divsChild>
                <w:div w:id="2117015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055390">
      <w:bodyDiv w:val="1"/>
      <w:marLeft w:val="0"/>
      <w:marRight w:val="0"/>
      <w:marTop w:val="0"/>
      <w:marBottom w:val="0"/>
      <w:divBdr>
        <w:top w:val="none" w:sz="0" w:space="0" w:color="auto"/>
        <w:left w:val="none" w:sz="0" w:space="0" w:color="auto"/>
        <w:bottom w:val="none" w:sz="0" w:space="0" w:color="auto"/>
        <w:right w:val="none" w:sz="0" w:space="0" w:color="auto"/>
      </w:divBdr>
    </w:div>
    <w:div w:id="2031491755">
      <w:bodyDiv w:val="1"/>
      <w:marLeft w:val="0"/>
      <w:marRight w:val="0"/>
      <w:marTop w:val="0"/>
      <w:marBottom w:val="0"/>
      <w:divBdr>
        <w:top w:val="none" w:sz="0" w:space="0" w:color="auto"/>
        <w:left w:val="none" w:sz="0" w:space="0" w:color="auto"/>
        <w:bottom w:val="none" w:sz="0" w:space="0" w:color="auto"/>
        <w:right w:val="none" w:sz="0" w:space="0" w:color="auto"/>
      </w:divBdr>
    </w:div>
    <w:div w:id="2050639778">
      <w:bodyDiv w:val="1"/>
      <w:marLeft w:val="0"/>
      <w:marRight w:val="0"/>
      <w:marTop w:val="0"/>
      <w:marBottom w:val="0"/>
      <w:divBdr>
        <w:top w:val="none" w:sz="0" w:space="0" w:color="auto"/>
        <w:left w:val="none" w:sz="0" w:space="0" w:color="auto"/>
        <w:bottom w:val="none" w:sz="0" w:space="0" w:color="auto"/>
        <w:right w:val="none" w:sz="0" w:space="0" w:color="auto"/>
      </w:divBdr>
    </w:div>
    <w:div w:id="2064523546">
      <w:bodyDiv w:val="1"/>
      <w:marLeft w:val="0"/>
      <w:marRight w:val="0"/>
      <w:marTop w:val="0"/>
      <w:marBottom w:val="0"/>
      <w:divBdr>
        <w:top w:val="none" w:sz="0" w:space="0" w:color="auto"/>
        <w:left w:val="none" w:sz="0" w:space="0" w:color="auto"/>
        <w:bottom w:val="none" w:sz="0" w:space="0" w:color="auto"/>
        <w:right w:val="none" w:sz="0" w:space="0" w:color="auto"/>
      </w:divBdr>
    </w:div>
    <w:div w:id="2106340647">
      <w:bodyDiv w:val="1"/>
      <w:marLeft w:val="0"/>
      <w:marRight w:val="0"/>
      <w:marTop w:val="0"/>
      <w:marBottom w:val="0"/>
      <w:divBdr>
        <w:top w:val="none" w:sz="0" w:space="0" w:color="auto"/>
        <w:left w:val="none" w:sz="0" w:space="0" w:color="auto"/>
        <w:bottom w:val="none" w:sz="0" w:space="0" w:color="auto"/>
        <w:right w:val="none" w:sz="0" w:space="0" w:color="auto"/>
      </w:divBdr>
    </w:div>
    <w:div w:id="2109545348">
      <w:bodyDiv w:val="1"/>
      <w:marLeft w:val="0"/>
      <w:marRight w:val="0"/>
      <w:marTop w:val="0"/>
      <w:marBottom w:val="0"/>
      <w:divBdr>
        <w:top w:val="none" w:sz="0" w:space="0" w:color="auto"/>
        <w:left w:val="none" w:sz="0" w:space="0" w:color="auto"/>
        <w:bottom w:val="none" w:sz="0" w:space="0" w:color="auto"/>
        <w:right w:val="none" w:sz="0" w:space="0" w:color="auto"/>
      </w:divBdr>
    </w:div>
    <w:div w:id="2135444891">
      <w:bodyDiv w:val="1"/>
      <w:marLeft w:val="0"/>
      <w:marRight w:val="0"/>
      <w:marTop w:val="0"/>
      <w:marBottom w:val="0"/>
      <w:divBdr>
        <w:top w:val="none" w:sz="0" w:space="0" w:color="auto"/>
        <w:left w:val="none" w:sz="0" w:space="0" w:color="auto"/>
        <w:bottom w:val="none" w:sz="0" w:space="0" w:color="auto"/>
        <w:right w:val="none" w:sz="0" w:space="0" w:color="auto"/>
      </w:divBdr>
    </w:div>
    <w:div w:id="21420737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02739615.2011.537938" TargetMode="External"/><Relationship Id="rId13" Type="http://schemas.openxmlformats.org/officeDocument/2006/relationships/hyperlink" Target="https://doi.org/10.1093/jpepsy/jsy058" TargetMode="External"/><Relationship Id="rId18" Type="http://schemas.openxmlformats.org/officeDocument/2006/relationships/hyperlink" Target="https://doi.org/10.1016/s0304-3959(97)00034-1" TargetMode="External"/><Relationship Id="rId26" Type="http://schemas.openxmlformats.org/officeDocument/2006/relationships/hyperlink" Target="https://doi.org/10.1080/08035259950169819" TargetMode="External"/><Relationship Id="rId3" Type="http://schemas.openxmlformats.org/officeDocument/2006/relationships/styles" Target="styles.xml"/><Relationship Id="rId21" Type="http://schemas.openxmlformats.org/officeDocument/2006/relationships/hyperlink" Target="https://doi.org/10.1111/jftr.12448" TargetMode="External"/><Relationship Id="rId7" Type="http://schemas.openxmlformats.org/officeDocument/2006/relationships/endnotes" Target="endnotes.xml"/><Relationship Id="rId12" Type="http://schemas.openxmlformats.org/officeDocument/2006/relationships/hyperlink" Target="https://doi.org/10.1080/24740527.2018.1518119" TargetMode="External"/><Relationship Id="rId17" Type="http://schemas.openxmlformats.org/officeDocument/2006/relationships/hyperlink" Target="https://doi.org/10.1023/A:1016863921662" TargetMode="External"/><Relationship Id="rId25" Type="http://schemas.openxmlformats.org/officeDocument/2006/relationships/hyperlink" Target="https://doi.org/10.1016/j.pain.2007.03.020" TargetMode="External"/><Relationship Id="rId2" Type="http://schemas.openxmlformats.org/officeDocument/2006/relationships/numbering" Target="numbering.xml"/><Relationship Id="rId16" Type="http://schemas.openxmlformats.org/officeDocument/2006/relationships/hyperlink" Target="https://doi.org/10.1097/00006565-200206000-00002" TargetMode="External"/><Relationship Id="rId20" Type="http://schemas.openxmlformats.org/officeDocument/2006/relationships/hyperlink" Target="https://doi.org/10.1097/00000446-200210000-0002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36/emermed-2016-205825" TargetMode="External"/><Relationship Id="rId24" Type="http://schemas.openxmlformats.org/officeDocument/2006/relationships/hyperlink" Target="https://doi.org/10.1097/00002508-200311000-00003" TargetMode="External"/><Relationship Id="rId5" Type="http://schemas.openxmlformats.org/officeDocument/2006/relationships/webSettings" Target="webSettings.xml"/><Relationship Id="rId15" Type="http://schemas.openxmlformats.org/officeDocument/2006/relationships/hyperlink" Target="https://doi.org/10.1186/s12998-016-0104-0" TargetMode="External"/><Relationship Id="rId23" Type="http://schemas.openxmlformats.org/officeDocument/2006/relationships/hyperlink" Target="https://doi.org/10.1007/s10903-018-0724-7" TargetMode="External"/><Relationship Id="rId28" Type="http://schemas.openxmlformats.org/officeDocument/2006/relationships/footer" Target="footer2.xml"/><Relationship Id="rId10" Type="http://schemas.openxmlformats.org/officeDocument/2006/relationships/hyperlink" Target="https://doi.org/10.1007/s10880-006-9027-6" TargetMode="External"/><Relationship Id="rId19" Type="http://schemas.openxmlformats.org/officeDocument/2006/relationships/hyperlink" Target="https://doi.org/10.1097/AJP.0000000000000731" TargetMode="External"/><Relationship Id="rId4" Type="http://schemas.openxmlformats.org/officeDocument/2006/relationships/settings" Target="settings.xml"/><Relationship Id="rId9" Type="http://schemas.openxmlformats.org/officeDocument/2006/relationships/hyperlink" Target="https://doi.org/10.1093/jpepsy/jss041" TargetMode="External"/><Relationship Id="rId14" Type="http://schemas.openxmlformats.org/officeDocument/2006/relationships/hyperlink" Target="https://doi.org/10.1016/0304-3959(87)90073-X" TargetMode="External"/><Relationship Id="rId22" Type="http://schemas.openxmlformats.org/officeDocument/2006/relationships/hyperlink" Target="https://doi.org/10.1016/j.jpain.2016.08.008" TargetMode="External"/><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48FA0-774A-604C-A02E-409A96393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6788</Words>
  <Characters>38697</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Zaffino</dc:creator>
  <cp:keywords/>
  <dc:description/>
  <cp:lastModifiedBy>Microsoft Office User</cp:lastModifiedBy>
  <cp:revision>6</cp:revision>
  <cp:lastPrinted>2022-07-20T14:17:00Z</cp:lastPrinted>
  <dcterms:created xsi:type="dcterms:W3CDTF">2023-09-04T17:07:00Z</dcterms:created>
  <dcterms:modified xsi:type="dcterms:W3CDTF">2023-09-04T17:08:00Z</dcterms:modified>
</cp:coreProperties>
</file>